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4810" w:type="dxa"/>
        <w:tblLook w:val="04A0" w:firstRow="1" w:lastRow="0" w:firstColumn="1" w:lastColumn="0" w:noHBand="0" w:noVBand="1"/>
      </w:tblPr>
      <w:tblGrid>
        <w:gridCol w:w="2222"/>
        <w:gridCol w:w="7997"/>
        <w:gridCol w:w="3030"/>
        <w:gridCol w:w="1504"/>
        <w:gridCol w:w="49"/>
        <w:gridCol w:w="8"/>
      </w:tblGrid>
      <w:tr w:rsidR="004515D2" w:rsidRPr="00736198" w:rsidTr="003B315A">
        <w:trPr>
          <w:gridAfter w:val="2"/>
          <w:wAfter w:w="59" w:type="dxa"/>
          <w:trHeight w:val="864"/>
        </w:trPr>
        <w:tc>
          <w:tcPr>
            <w:tcW w:w="1986"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C7CC00"/>
          </w:tcPr>
          <w:p w:rsidR="004515D2" w:rsidRPr="00736198" w:rsidRDefault="004515D2" w:rsidP="00C15317">
            <w:pPr>
              <w:rPr>
                <w:rFonts w:ascii="Arial" w:hAnsi="Arial" w:cs="Arial"/>
                <w:b/>
                <w:color w:val="404040" w:themeColor="text1" w:themeTint="BF"/>
              </w:rPr>
            </w:pPr>
            <w:r w:rsidRPr="00736198">
              <w:rPr>
                <w:rFonts w:ascii="Arial" w:hAnsi="Arial" w:cs="Arial"/>
                <w:b/>
                <w:color w:val="404040" w:themeColor="text1" w:themeTint="BF"/>
              </w:rPr>
              <w:t>Studientitel</w:t>
            </w:r>
          </w:p>
        </w:tc>
        <w:tc>
          <w:tcPr>
            <w:tcW w:w="821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C7CC00"/>
          </w:tcPr>
          <w:p w:rsidR="004515D2" w:rsidRPr="00736198" w:rsidRDefault="00F420CD" w:rsidP="00C15317">
            <w:pPr>
              <w:rPr>
                <w:rFonts w:ascii="Arial" w:hAnsi="Arial" w:cs="Arial"/>
                <w:b/>
                <w:color w:val="404040" w:themeColor="text1" w:themeTint="BF"/>
              </w:rPr>
            </w:pPr>
            <w:r w:rsidRPr="00736198">
              <w:rPr>
                <w:rFonts w:ascii="Arial" w:hAnsi="Arial" w:cs="Arial"/>
                <w:b/>
                <w:color w:val="404040" w:themeColor="text1" w:themeTint="BF"/>
              </w:rPr>
              <w:t>Ziel der Studie</w:t>
            </w:r>
          </w:p>
        </w:tc>
        <w:tc>
          <w:tcPr>
            <w:tcW w:w="3046"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C7CC00"/>
          </w:tcPr>
          <w:p w:rsidR="004515D2" w:rsidRPr="00736198" w:rsidRDefault="004515D2" w:rsidP="00C15317">
            <w:pPr>
              <w:rPr>
                <w:rFonts w:ascii="Arial" w:hAnsi="Arial" w:cs="Arial"/>
                <w:b/>
                <w:color w:val="404040" w:themeColor="text1" w:themeTint="BF"/>
              </w:rPr>
            </w:pPr>
            <w:r w:rsidRPr="00736198">
              <w:rPr>
                <w:rFonts w:ascii="Arial" w:hAnsi="Arial" w:cs="Arial"/>
                <w:b/>
                <w:color w:val="404040" w:themeColor="text1" w:themeTint="BF"/>
              </w:rPr>
              <w:t>Population</w:t>
            </w:r>
          </w:p>
        </w:tc>
        <w:tc>
          <w:tcPr>
            <w:tcW w:w="150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C7CC00"/>
          </w:tcPr>
          <w:p w:rsidR="004515D2" w:rsidRPr="00736198" w:rsidRDefault="004515D2" w:rsidP="00C15317">
            <w:pPr>
              <w:rPr>
                <w:rFonts w:ascii="Arial" w:hAnsi="Arial" w:cs="Arial"/>
                <w:b/>
                <w:color w:val="404040" w:themeColor="text1" w:themeTint="BF"/>
              </w:rPr>
            </w:pPr>
            <w:r w:rsidRPr="00736198">
              <w:rPr>
                <w:rFonts w:ascii="Arial" w:hAnsi="Arial" w:cs="Arial"/>
                <w:b/>
                <w:color w:val="404040" w:themeColor="text1" w:themeTint="BF"/>
              </w:rPr>
              <w:t>Status</w:t>
            </w:r>
          </w:p>
        </w:tc>
      </w:tr>
      <w:tr w:rsidR="00584B7E" w:rsidRPr="00736198" w:rsidTr="009B0EBE">
        <w:trPr>
          <w:gridAfter w:val="1"/>
          <w:wAfter w:w="8" w:type="dxa"/>
          <w:trHeight w:val="444"/>
        </w:trPr>
        <w:tc>
          <w:tcPr>
            <w:tcW w:w="14802" w:type="dxa"/>
            <w:gridSpan w:val="5"/>
            <w:tcBorders>
              <w:left w:val="single" w:sz="4" w:space="0" w:color="A6A6A6" w:themeColor="background1" w:themeShade="A6"/>
              <w:right w:val="single" w:sz="4" w:space="0" w:color="A6A6A6" w:themeColor="background1" w:themeShade="A6"/>
            </w:tcBorders>
            <w:shd w:val="clear" w:color="auto" w:fill="D8DADC"/>
          </w:tcPr>
          <w:p w:rsidR="00584B7E" w:rsidRPr="00736198" w:rsidRDefault="00584B7E" w:rsidP="00C15317">
            <w:pPr>
              <w:rPr>
                <w:rFonts w:ascii="Arial" w:hAnsi="Arial" w:cs="Arial"/>
                <w:color w:val="404040" w:themeColor="text1" w:themeTint="BF"/>
              </w:rPr>
            </w:pPr>
            <w:r w:rsidRPr="00736198">
              <w:rPr>
                <w:rFonts w:ascii="Arial" w:hAnsi="Arial" w:cs="Arial"/>
                <w:color w:val="404040" w:themeColor="text1" w:themeTint="BF"/>
              </w:rPr>
              <w:t>Bru</w:t>
            </w:r>
            <w:r w:rsidRPr="00736198">
              <w:rPr>
                <w:rFonts w:ascii="Arial" w:hAnsi="Arial" w:cs="Arial"/>
                <w:color w:val="404040" w:themeColor="text1" w:themeTint="BF"/>
                <w:shd w:val="clear" w:color="auto" w:fill="D8DADC"/>
              </w:rPr>
              <w:t xml:space="preserve">stzentrum </w:t>
            </w:r>
          </w:p>
        </w:tc>
      </w:tr>
      <w:tr w:rsidR="00F420CD" w:rsidRPr="00736198" w:rsidTr="003B315A">
        <w:trPr>
          <w:gridAfter w:val="2"/>
          <w:wAfter w:w="59" w:type="dxa"/>
          <w:trHeight w:val="444"/>
        </w:trPr>
        <w:tc>
          <w:tcPr>
            <w:tcW w:w="1986"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FFF" w:themeFill="background1"/>
          </w:tcPr>
          <w:p w:rsidR="00F420CD" w:rsidRPr="00736198" w:rsidRDefault="00F420CD" w:rsidP="00F420CD">
            <w:pPr>
              <w:rPr>
                <w:rFonts w:ascii="Arial" w:hAnsi="Arial" w:cs="Arial"/>
                <w:color w:val="404040" w:themeColor="text1" w:themeTint="BF"/>
              </w:rPr>
            </w:pPr>
            <w:r w:rsidRPr="00736198">
              <w:rPr>
                <w:rFonts w:ascii="Arial" w:hAnsi="Arial" w:cs="Arial"/>
                <w:color w:val="404040" w:themeColor="text1" w:themeTint="BF"/>
              </w:rPr>
              <w:t>AdaptCycle</w:t>
            </w:r>
          </w:p>
        </w:tc>
        <w:tc>
          <w:tcPr>
            <w:tcW w:w="821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FFF" w:themeFill="background1"/>
          </w:tcPr>
          <w:p w:rsidR="00F420CD" w:rsidRPr="00736198" w:rsidRDefault="00F420CD" w:rsidP="00F420CD">
            <w:pPr>
              <w:rPr>
                <w:rFonts w:ascii="Arial" w:hAnsi="Arial" w:cs="Arial"/>
                <w:color w:val="404040" w:themeColor="text1" w:themeTint="BF"/>
              </w:rPr>
            </w:pPr>
            <w:r w:rsidRPr="00736198">
              <w:rPr>
                <w:rFonts w:ascii="Arial" w:hAnsi="Arial" w:cs="Arial"/>
              </w:rPr>
              <w:t>Die Studie soll zeigen, dass die Behandlung mit Ribociclib im Hinblick auf das krankheitsfreie Überleben und das verminderte Auftreten von Fernmetastasen, gegenüber der Standard-Behandlung mit Chemotherapie, einen Vorteil für die Patienten bringt.</w:t>
            </w:r>
          </w:p>
        </w:tc>
        <w:tc>
          <w:tcPr>
            <w:tcW w:w="3046"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FFF" w:themeFill="background1"/>
          </w:tcPr>
          <w:p w:rsidR="00F420CD" w:rsidRPr="00736198" w:rsidRDefault="001603E7" w:rsidP="00F420CD">
            <w:pPr>
              <w:pStyle w:val="Listenabsatz"/>
              <w:numPr>
                <w:ilvl w:val="0"/>
                <w:numId w:val="2"/>
              </w:numPr>
              <w:rPr>
                <w:rFonts w:ascii="Arial" w:hAnsi="Arial" w:cs="Arial"/>
                <w:color w:val="404040" w:themeColor="text1" w:themeTint="BF"/>
              </w:rPr>
            </w:pPr>
            <w:r w:rsidRPr="00736198">
              <w:rPr>
                <w:rFonts w:ascii="Arial" w:hAnsi="Arial" w:cs="Arial"/>
                <w:color w:val="404040" w:themeColor="text1" w:themeTint="BF"/>
              </w:rPr>
              <w:t>H</w:t>
            </w:r>
            <w:r w:rsidR="00F420CD" w:rsidRPr="00736198">
              <w:rPr>
                <w:rFonts w:ascii="Arial" w:hAnsi="Arial" w:cs="Arial"/>
                <w:color w:val="404040" w:themeColor="text1" w:themeTint="BF"/>
              </w:rPr>
              <w:t>R-positiv</w:t>
            </w:r>
          </w:p>
          <w:p w:rsidR="00F420CD" w:rsidRPr="00736198" w:rsidRDefault="00F420CD" w:rsidP="00F420CD">
            <w:pPr>
              <w:pStyle w:val="Listenabsatz"/>
              <w:numPr>
                <w:ilvl w:val="0"/>
                <w:numId w:val="2"/>
              </w:numPr>
              <w:rPr>
                <w:rFonts w:ascii="Arial" w:hAnsi="Arial" w:cs="Arial"/>
                <w:color w:val="404040" w:themeColor="text1" w:themeTint="BF"/>
              </w:rPr>
            </w:pPr>
            <w:r w:rsidRPr="00736198">
              <w:rPr>
                <w:rFonts w:ascii="Arial" w:hAnsi="Arial" w:cs="Arial"/>
                <w:color w:val="404040" w:themeColor="text1" w:themeTint="BF"/>
              </w:rPr>
              <w:t>HER2 negativ</w:t>
            </w:r>
          </w:p>
          <w:p w:rsidR="00F420CD" w:rsidRPr="00736198" w:rsidRDefault="00F420CD" w:rsidP="00F420CD">
            <w:pPr>
              <w:pStyle w:val="Listenabsatz"/>
              <w:numPr>
                <w:ilvl w:val="0"/>
                <w:numId w:val="2"/>
              </w:numPr>
              <w:rPr>
                <w:rFonts w:ascii="Arial" w:hAnsi="Arial" w:cs="Arial"/>
                <w:color w:val="404040" w:themeColor="text1" w:themeTint="BF"/>
              </w:rPr>
            </w:pPr>
            <w:r w:rsidRPr="00736198">
              <w:rPr>
                <w:rFonts w:ascii="Arial" w:hAnsi="Arial" w:cs="Arial"/>
                <w:color w:val="404040" w:themeColor="text1" w:themeTint="BF"/>
              </w:rPr>
              <w:t>Keine Vorbehandlung</w:t>
            </w:r>
          </w:p>
          <w:p w:rsidR="00C9356A" w:rsidRPr="00736198" w:rsidRDefault="001603E7" w:rsidP="00F420CD">
            <w:pPr>
              <w:pStyle w:val="Listenabsatz"/>
              <w:numPr>
                <w:ilvl w:val="0"/>
                <w:numId w:val="2"/>
              </w:numPr>
              <w:rPr>
                <w:rFonts w:ascii="Arial" w:hAnsi="Arial" w:cs="Arial"/>
                <w:color w:val="404040" w:themeColor="text1" w:themeTint="BF"/>
              </w:rPr>
            </w:pPr>
            <w:r w:rsidRPr="00736198">
              <w:rPr>
                <w:rFonts w:ascii="Arial" w:hAnsi="Arial" w:cs="Arial"/>
                <w:color w:val="404040" w:themeColor="text1" w:themeTint="BF"/>
              </w:rPr>
              <w:t>n</w:t>
            </w:r>
            <w:r w:rsidR="00C9356A" w:rsidRPr="00736198">
              <w:rPr>
                <w:rFonts w:ascii="Arial" w:hAnsi="Arial" w:cs="Arial"/>
                <w:color w:val="404040" w:themeColor="text1" w:themeTint="BF"/>
              </w:rPr>
              <w:t>eo-</w:t>
            </w:r>
            <w:r w:rsidRPr="00736198">
              <w:rPr>
                <w:rFonts w:ascii="Arial" w:hAnsi="Arial" w:cs="Arial"/>
                <w:color w:val="404040" w:themeColor="text1" w:themeTint="BF"/>
              </w:rPr>
              <w:t>/a</w:t>
            </w:r>
            <w:r w:rsidR="00C9356A" w:rsidRPr="00736198">
              <w:rPr>
                <w:rFonts w:ascii="Arial" w:hAnsi="Arial" w:cs="Arial"/>
                <w:color w:val="404040" w:themeColor="text1" w:themeTint="BF"/>
              </w:rPr>
              <w:t>djuvant</w:t>
            </w:r>
          </w:p>
        </w:tc>
        <w:tc>
          <w:tcPr>
            <w:tcW w:w="150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FFF" w:themeFill="background1"/>
          </w:tcPr>
          <w:p w:rsidR="00F420CD" w:rsidRPr="00736198" w:rsidRDefault="00F420CD" w:rsidP="00F420CD">
            <w:pPr>
              <w:rPr>
                <w:rFonts w:ascii="Arial" w:hAnsi="Arial" w:cs="Arial"/>
                <w:color w:val="404040" w:themeColor="text1" w:themeTint="BF"/>
              </w:rPr>
            </w:pPr>
            <w:r w:rsidRPr="00736198">
              <w:rPr>
                <w:rFonts w:ascii="Arial" w:hAnsi="Arial" w:cs="Arial"/>
                <w:color w:val="404040" w:themeColor="text1" w:themeTint="BF"/>
              </w:rPr>
              <w:t>rekrutierend</w:t>
            </w:r>
          </w:p>
        </w:tc>
      </w:tr>
      <w:tr w:rsidR="00F420CD" w:rsidRPr="00736198" w:rsidTr="003B315A">
        <w:trPr>
          <w:gridAfter w:val="2"/>
          <w:wAfter w:w="59" w:type="dxa"/>
          <w:trHeight w:val="444"/>
        </w:trPr>
        <w:tc>
          <w:tcPr>
            <w:tcW w:w="1986"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FFF" w:themeFill="background1"/>
          </w:tcPr>
          <w:p w:rsidR="00F420CD" w:rsidRPr="00736198" w:rsidRDefault="00F420CD" w:rsidP="00F420CD">
            <w:pPr>
              <w:rPr>
                <w:rFonts w:ascii="Arial" w:hAnsi="Arial" w:cs="Arial"/>
                <w:color w:val="404040" w:themeColor="text1" w:themeTint="BF"/>
              </w:rPr>
            </w:pPr>
            <w:r w:rsidRPr="00736198">
              <w:rPr>
                <w:rFonts w:ascii="Arial" w:hAnsi="Arial" w:cs="Arial"/>
                <w:color w:val="404040" w:themeColor="text1" w:themeTint="BF"/>
              </w:rPr>
              <w:t>AdaptLate</w:t>
            </w:r>
          </w:p>
        </w:tc>
        <w:tc>
          <w:tcPr>
            <w:tcW w:w="821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FFF" w:themeFill="background1"/>
          </w:tcPr>
          <w:p w:rsidR="00F420CD" w:rsidRPr="00736198" w:rsidRDefault="00C9356A" w:rsidP="00F420CD">
            <w:pPr>
              <w:rPr>
                <w:rFonts w:ascii="Arial" w:hAnsi="Arial" w:cs="Arial"/>
                <w:color w:val="404040" w:themeColor="text1" w:themeTint="BF"/>
              </w:rPr>
            </w:pPr>
            <w:r w:rsidRPr="00736198">
              <w:rPr>
                <w:rFonts w:ascii="Arial" w:hAnsi="Arial" w:cs="Arial"/>
                <w:color w:val="404040" w:themeColor="text1" w:themeTint="BF"/>
              </w:rPr>
              <w:t>Vergleich der Therapie mit Abemaciclib + antihormonelle Therapie vs. Antihormonelle Therapie allein bei adjuvanten Mamma-Ca Patienten mit hohem genomischen Rückfallrisikon</w:t>
            </w:r>
          </w:p>
        </w:tc>
        <w:tc>
          <w:tcPr>
            <w:tcW w:w="3046"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FFF" w:themeFill="background1"/>
          </w:tcPr>
          <w:p w:rsidR="00F420CD" w:rsidRPr="00736198" w:rsidRDefault="001603E7" w:rsidP="00C9356A">
            <w:pPr>
              <w:pStyle w:val="Listenabsatz"/>
              <w:numPr>
                <w:ilvl w:val="0"/>
                <w:numId w:val="3"/>
              </w:numPr>
              <w:rPr>
                <w:rFonts w:ascii="Arial" w:hAnsi="Arial" w:cs="Arial"/>
                <w:color w:val="404040" w:themeColor="text1" w:themeTint="BF"/>
              </w:rPr>
            </w:pPr>
            <w:r w:rsidRPr="00736198">
              <w:rPr>
                <w:rFonts w:ascii="Arial" w:hAnsi="Arial" w:cs="Arial"/>
                <w:color w:val="404040" w:themeColor="text1" w:themeTint="BF"/>
              </w:rPr>
              <w:t>H</w:t>
            </w:r>
            <w:r w:rsidR="00C9356A" w:rsidRPr="00736198">
              <w:rPr>
                <w:rFonts w:ascii="Arial" w:hAnsi="Arial" w:cs="Arial"/>
                <w:color w:val="404040" w:themeColor="text1" w:themeTint="BF"/>
              </w:rPr>
              <w:t>R-positiv</w:t>
            </w:r>
          </w:p>
          <w:p w:rsidR="00C9356A" w:rsidRPr="00736198" w:rsidRDefault="00C9356A" w:rsidP="00C9356A">
            <w:pPr>
              <w:pStyle w:val="Listenabsatz"/>
              <w:numPr>
                <w:ilvl w:val="0"/>
                <w:numId w:val="3"/>
              </w:numPr>
              <w:rPr>
                <w:rFonts w:ascii="Arial" w:hAnsi="Arial" w:cs="Arial"/>
                <w:color w:val="404040" w:themeColor="text1" w:themeTint="BF"/>
              </w:rPr>
            </w:pPr>
            <w:r w:rsidRPr="00736198">
              <w:rPr>
                <w:rFonts w:ascii="Arial" w:hAnsi="Arial" w:cs="Arial"/>
                <w:color w:val="404040" w:themeColor="text1" w:themeTint="BF"/>
              </w:rPr>
              <w:t>HER2 negativ</w:t>
            </w:r>
          </w:p>
          <w:p w:rsidR="00C9356A" w:rsidRPr="00736198" w:rsidRDefault="009B0EBE" w:rsidP="00C9356A">
            <w:pPr>
              <w:pStyle w:val="Listenabsatz"/>
              <w:numPr>
                <w:ilvl w:val="0"/>
                <w:numId w:val="3"/>
              </w:numPr>
              <w:rPr>
                <w:rFonts w:ascii="Arial" w:hAnsi="Arial" w:cs="Arial"/>
                <w:color w:val="404040" w:themeColor="text1" w:themeTint="BF"/>
              </w:rPr>
            </w:pPr>
            <w:r w:rsidRPr="00736198">
              <w:rPr>
                <w:rFonts w:ascii="Arial" w:hAnsi="Arial" w:cs="Arial"/>
                <w:color w:val="404040" w:themeColor="text1" w:themeTint="BF"/>
              </w:rPr>
              <w:t xml:space="preserve">laufende antihormonelle </w:t>
            </w:r>
            <w:r w:rsidR="00C9356A" w:rsidRPr="00736198">
              <w:rPr>
                <w:rFonts w:ascii="Arial" w:hAnsi="Arial" w:cs="Arial"/>
                <w:color w:val="404040" w:themeColor="text1" w:themeTint="BF"/>
              </w:rPr>
              <w:t>Therapie</w:t>
            </w:r>
          </w:p>
          <w:p w:rsidR="00C9356A" w:rsidRPr="00736198" w:rsidRDefault="00C9356A" w:rsidP="00C9356A">
            <w:pPr>
              <w:pStyle w:val="Listenabsatz"/>
              <w:numPr>
                <w:ilvl w:val="0"/>
                <w:numId w:val="3"/>
              </w:numPr>
              <w:rPr>
                <w:rFonts w:ascii="Arial" w:hAnsi="Arial" w:cs="Arial"/>
                <w:color w:val="404040" w:themeColor="text1" w:themeTint="BF"/>
              </w:rPr>
            </w:pPr>
            <w:r w:rsidRPr="00736198">
              <w:rPr>
                <w:rFonts w:ascii="Arial" w:hAnsi="Arial" w:cs="Arial"/>
                <w:color w:val="404040" w:themeColor="text1" w:themeTint="BF"/>
              </w:rPr>
              <w:t>adjuvant</w:t>
            </w:r>
          </w:p>
        </w:tc>
        <w:tc>
          <w:tcPr>
            <w:tcW w:w="150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FFF" w:themeFill="background1"/>
          </w:tcPr>
          <w:p w:rsidR="00F420CD" w:rsidRPr="00736198" w:rsidRDefault="00F420CD" w:rsidP="00F420CD">
            <w:pPr>
              <w:rPr>
                <w:rFonts w:ascii="Arial" w:hAnsi="Arial" w:cs="Arial"/>
                <w:color w:val="404040" w:themeColor="text1" w:themeTint="BF"/>
              </w:rPr>
            </w:pPr>
            <w:r w:rsidRPr="00736198">
              <w:rPr>
                <w:rFonts w:ascii="Arial" w:hAnsi="Arial" w:cs="Arial"/>
                <w:color w:val="404040" w:themeColor="text1" w:themeTint="BF"/>
              </w:rPr>
              <w:t>rekrutierend</w:t>
            </w:r>
          </w:p>
        </w:tc>
      </w:tr>
      <w:tr w:rsidR="00F420CD" w:rsidRPr="00736198" w:rsidTr="003B315A">
        <w:trPr>
          <w:gridAfter w:val="2"/>
          <w:wAfter w:w="59" w:type="dxa"/>
          <w:trHeight w:val="444"/>
        </w:trPr>
        <w:tc>
          <w:tcPr>
            <w:tcW w:w="1986"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FFF" w:themeFill="background1"/>
          </w:tcPr>
          <w:p w:rsidR="00F420CD" w:rsidRPr="00736198" w:rsidRDefault="00F420CD" w:rsidP="00F420CD">
            <w:pPr>
              <w:rPr>
                <w:rFonts w:ascii="Arial" w:hAnsi="Arial" w:cs="Arial"/>
                <w:color w:val="404040" w:themeColor="text1" w:themeTint="BF"/>
              </w:rPr>
            </w:pPr>
            <w:r w:rsidRPr="00736198">
              <w:rPr>
                <w:rFonts w:ascii="Arial" w:hAnsi="Arial" w:cs="Arial"/>
                <w:color w:val="404040" w:themeColor="text1" w:themeTint="BF"/>
              </w:rPr>
              <w:t>BO41843</w:t>
            </w:r>
          </w:p>
        </w:tc>
        <w:tc>
          <w:tcPr>
            <w:tcW w:w="821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FFF" w:themeFill="background1"/>
          </w:tcPr>
          <w:p w:rsidR="00F420CD" w:rsidRPr="00736198" w:rsidRDefault="001603E7" w:rsidP="001603E7">
            <w:pPr>
              <w:autoSpaceDE w:val="0"/>
              <w:autoSpaceDN w:val="0"/>
              <w:adjustRightInd w:val="0"/>
              <w:rPr>
                <w:rFonts w:ascii="Arial" w:hAnsi="Arial" w:cs="Arial"/>
              </w:rPr>
            </w:pPr>
            <w:r w:rsidRPr="00736198">
              <w:rPr>
                <w:rFonts w:ascii="Arial" w:hAnsi="Arial" w:cs="Arial"/>
              </w:rPr>
              <w:t>Der Zweck dieser klinischen Prüfung ist, die positiven oder negativen Wirkungen von GDC-9545 in Kombination mit Palbociclib mit denen von Letrozol in Kombination mit Palbociclib zu vergleichen und zwar bei Patienten mit ER-positivem, HER2-negativem lokal fortgeschrittenem oder metastasiertem Brustkrebs. In dieser klinischen Prüfung erhalten Sie entweder GDC-9545 plus Palbociclib oder Letrozol plus Palbociclib.</w:t>
            </w:r>
          </w:p>
          <w:p w:rsidR="001603E7" w:rsidRPr="00736198" w:rsidRDefault="001603E7" w:rsidP="001603E7">
            <w:pPr>
              <w:autoSpaceDE w:val="0"/>
              <w:autoSpaceDN w:val="0"/>
              <w:adjustRightInd w:val="0"/>
              <w:rPr>
                <w:rFonts w:ascii="Arial" w:hAnsi="Arial" w:cs="Arial"/>
              </w:rPr>
            </w:pPr>
          </w:p>
        </w:tc>
        <w:tc>
          <w:tcPr>
            <w:tcW w:w="3046"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FFF" w:themeFill="background1"/>
          </w:tcPr>
          <w:p w:rsidR="00F420CD" w:rsidRPr="00736198" w:rsidRDefault="001603E7" w:rsidP="001603E7">
            <w:pPr>
              <w:pStyle w:val="Listenabsatz"/>
              <w:numPr>
                <w:ilvl w:val="0"/>
                <w:numId w:val="4"/>
              </w:numPr>
              <w:rPr>
                <w:rFonts w:ascii="Arial" w:hAnsi="Arial" w:cs="Arial"/>
                <w:color w:val="404040" w:themeColor="text1" w:themeTint="BF"/>
              </w:rPr>
            </w:pPr>
            <w:r w:rsidRPr="00736198">
              <w:rPr>
                <w:rFonts w:ascii="Arial" w:hAnsi="Arial" w:cs="Arial"/>
                <w:color w:val="404040" w:themeColor="text1" w:themeTint="BF"/>
              </w:rPr>
              <w:t>palliativ</w:t>
            </w:r>
          </w:p>
          <w:p w:rsidR="001603E7" w:rsidRPr="00736198" w:rsidRDefault="001603E7" w:rsidP="001603E7">
            <w:pPr>
              <w:pStyle w:val="Listenabsatz"/>
              <w:numPr>
                <w:ilvl w:val="0"/>
                <w:numId w:val="4"/>
              </w:numPr>
              <w:rPr>
                <w:rFonts w:ascii="Arial" w:hAnsi="Arial" w:cs="Arial"/>
                <w:color w:val="404040" w:themeColor="text1" w:themeTint="BF"/>
              </w:rPr>
            </w:pPr>
            <w:r w:rsidRPr="00736198">
              <w:rPr>
                <w:rFonts w:ascii="Arial" w:hAnsi="Arial" w:cs="Arial"/>
                <w:color w:val="404040" w:themeColor="text1" w:themeTint="BF"/>
              </w:rPr>
              <w:t>HR-positiv</w:t>
            </w:r>
          </w:p>
          <w:p w:rsidR="001603E7" w:rsidRPr="00736198" w:rsidRDefault="001603E7" w:rsidP="001603E7">
            <w:pPr>
              <w:pStyle w:val="Listenabsatz"/>
              <w:numPr>
                <w:ilvl w:val="0"/>
                <w:numId w:val="4"/>
              </w:numPr>
              <w:rPr>
                <w:rFonts w:ascii="Arial" w:hAnsi="Arial" w:cs="Arial"/>
                <w:color w:val="404040" w:themeColor="text1" w:themeTint="BF"/>
              </w:rPr>
            </w:pPr>
            <w:r w:rsidRPr="00736198">
              <w:rPr>
                <w:rFonts w:ascii="Arial" w:hAnsi="Arial" w:cs="Arial"/>
                <w:color w:val="404040" w:themeColor="text1" w:themeTint="BF"/>
              </w:rPr>
              <w:t>HER2 negativ</w:t>
            </w:r>
          </w:p>
          <w:p w:rsidR="001603E7" w:rsidRPr="00736198" w:rsidRDefault="001603E7" w:rsidP="001603E7">
            <w:pPr>
              <w:pStyle w:val="Listenabsatz"/>
              <w:numPr>
                <w:ilvl w:val="0"/>
                <w:numId w:val="4"/>
              </w:numPr>
              <w:rPr>
                <w:rFonts w:ascii="Arial" w:hAnsi="Arial" w:cs="Arial"/>
                <w:color w:val="404040" w:themeColor="text1" w:themeTint="BF"/>
              </w:rPr>
            </w:pPr>
            <w:r w:rsidRPr="00736198">
              <w:rPr>
                <w:rFonts w:ascii="Arial" w:hAnsi="Arial" w:cs="Arial"/>
                <w:color w:val="404040" w:themeColor="text1" w:themeTint="BF"/>
              </w:rPr>
              <w:t>Keine palliative Vorbehandlung</w:t>
            </w:r>
          </w:p>
        </w:tc>
        <w:tc>
          <w:tcPr>
            <w:tcW w:w="150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FFF" w:themeFill="background1"/>
          </w:tcPr>
          <w:p w:rsidR="00F420CD" w:rsidRPr="00736198" w:rsidRDefault="00F420CD" w:rsidP="00F420CD">
            <w:pPr>
              <w:rPr>
                <w:rFonts w:ascii="Arial" w:hAnsi="Arial" w:cs="Arial"/>
                <w:color w:val="404040" w:themeColor="text1" w:themeTint="BF"/>
              </w:rPr>
            </w:pPr>
            <w:r w:rsidRPr="00736198">
              <w:rPr>
                <w:rFonts w:ascii="Arial" w:hAnsi="Arial" w:cs="Arial"/>
                <w:color w:val="404040" w:themeColor="text1" w:themeTint="BF"/>
              </w:rPr>
              <w:t>rekrutierend</w:t>
            </w:r>
          </w:p>
        </w:tc>
      </w:tr>
      <w:tr w:rsidR="00F420CD" w:rsidRPr="00736198" w:rsidTr="003B315A">
        <w:trPr>
          <w:gridAfter w:val="2"/>
          <w:wAfter w:w="59" w:type="dxa"/>
          <w:trHeight w:val="444"/>
        </w:trPr>
        <w:tc>
          <w:tcPr>
            <w:tcW w:w="1986"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FFF" w:themeFill="background1"/>
          </w:tcPr>
          <w:p w:rsidR="00F420CD" w:rsidRPr="00736198" w:rsidRDefault="00F420CD" w:rsidP="00F420CD">
            <w:pPr>
              <w:rPr>
                <w:rFonts w:ascii="Arial" w:hAnsi="Arial" w:cs="Arial"/>
                <w:color w:val="404040" w:themeColor="text1" w:themeTint="BF"/>
              </w:rPr>
            </w:pPr>
            <w:r w:rsidRPr="00736198">
              <w:rPr>
                <w:rFonts w:ascii="Arial" w:hAnsi="Arial" w:cs="Arial"/>
                <w:color w:val="404040" w:themeColor="text1" w:themeTint="BF"/>
              </w:rPr>
              <w:t>Inavo0120</w:t>
            </w:r>
          </w:p>
        </w:tc>
        <w:tc>
          <w:tcPr>
            <w:tcW w:w="821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FFF" w:themeFill="background1"/>
          </w:tcPr>
          <w:p w:rsidR="001603E7" w:rsidRPr="00736198" w:rsidRDefault="001603E7" w:rsidP="001603E7">
            <w:pPr>
              <w:autoSpaceDE w:val="0"/>
              <w:autoSpaceDN w:val="0"/>
              <w:adjustRightInd w:val="0"/>
              <w:rPr>
                <w:rFonts w:ascii="Arial" w:hAnsi="Arial" w:cs="Arial"/>
              </w:rPr>
            </w:pPr>
            <w:r w:rsidRPr="00736198">
              <w:rPr>
                <w:rFonts w:ascii="Arial" w:hAnsi="Arial" w:cs="Arial"/>
              </w:rPr>
              <w:t>Der Zweck dieser klinischen Studie ist es, die positiven oder negativen</w:t>
            </w:r>
          </w:p>
          <w:p w:rsidR="00975ADE" w:rsidRPr="00736198" w:rsidRDefault="001603E7" w:rsidP="00975ADE">
            <w:pPr>
              <w:autoSpaceDE w:val="0"/>
              <w:autoSpaceDN w:val="0"/>
              <w:adjustRightInd w:val="0"/>
              <w:rPr>
                <w:rFonts w:ascii="Arial" w:hAnsi="Arial" w:cs="Arial"/>
              </w:rPr>
            </w:pPr>
            <w:r w:rsidRPr="00736198">
              <w:rPr>
                <w:rFonts w:ascii="Arial" w:hAnsi="Arial" w:cs="Arial"/>
              </w:rPr>
              <w:t xml:space="preserve">Auswirkungen bei der Behandlung von Patienten mit HR-positivem und HER2-negativem fortgeschrittenem oder metastasiertem Brustkrebs zu untersuchen, wenn zu der Standardtherapie mit Palbociclib und Fulvestrant zusätzlich GDC-0077 gegeben wird. </w:t>
            </w:r>
            <w:r w:rsidR="00975ADE" w:rsidRPr="00736198">
              <w:rPr>
                <w:rFonts w:ascii="Arial" w:hAnsi="Arial" w:cs="Arial"/>
              </w:rPr>
              <w:t>GDC-0077 ist eine Tablette, die in der Krebszelle ein Signal blockiert, das der Krebs nutzt</w:t>
            </w:r>
          </w:p>
          <w:p w:rsidR="00F420CD" w:rsidRPr="00736198" w:rsidRDefault="00975ADE" w:rsidP="00975ADE">
            <w:pPr>
              <w:autoSpaceDE w:val="0"/>
              <w:autoSpaceDN w:val="0"/>
              <w:adjustRightInd w:val="0"/>
              <w:rPr>
                <w:rFonts w:ascii="Arial" w:hAnsi="Arial" w:cs="Arial"/>
                <w:color w:val="404040" w:themeColor="text1" w:themeTint="BF"/>
              </w:rPr>
            </w:pPr>
            <w:r w:rsidRPr="00736198">
              <w:rPr>
                <w:rFonts w:ascii="Arial" w:hAnsi="Arial" w:cs="Arial"/>
              </w:rPr>
              <w:t>um zu wachsen und sich zu vermehren.</w:t>
            </w:r>
          </w:p>
        </w:tc>
        <w:tc>
          <w:tcPr>
            <w:tcW w:w="3046"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FFF" w:themeFill="background1"/>
          </w:tcPr>
          <w:p w:rsidR="001603E7" w:rsidRPr="00736198" w:rsidRDefault="001603E7" w:rsidP="001603E7">
            <w:pPr>
              <w:pStyle w:val="Listenabsatz"/>
              <w:numPr>
                <w:ilvl w:val="0"/>
                <w:numId w:val="4"/>
              </w:numPr>
              <w:rPr>
                <w:rFonts w:ascii="Arial" w:hAnsi="Arial" w:cs="Arial"/>
                <w:color w:val="404040" w:themeColor="text1" w:themeTint="BF"/>
              </w:rPr>
            </w:pPr>
            <w:r w:rsidRPr="00736198">
              <w:rPr>
                <w:rFonts w:ascii="Arial" w:hAnsi="Arial" w:cs="Arial"/>
                <w:color w:val="404040" w:themeColor="text1" w:themeTint="BF"/>
              </w:rPr>
              <w:t>palliativ</w:t>
            </w:r>
          </w:p>
          <w:p w:rsidR="001603E7" w:rsidRPr="00736198" w:rsidRDefault="001603E7" w:rsidP="001603E7">
            <w:pPr>
              <w:pStyle w:val="Listenabsatz"/>
              <w:numPr>
                <w:ilvl w:val="0"/>
                <w:numId w:val="4"/>
              </w:numPr>
              <w:rPr>
                <w:rFonts w:ascii="Arial" w:hAnsi="Arial" w:cs="Arial"/>
                <w:color w:val="404040" w:themeColor="text1" w:themeTint="BF"/>
              </w:rPr>
            </w:pPr>
            <w:r w:rsidRPr="00736198">
              <w:rPr>
                <w:rFonts w:ascii="Arial" w:hAnsi="Arial" w:cs="Arial"/>
                <w:color w:val="404040" w:themeColor="text1" w:themeTint="BF"/>
              </w:rPr>
              <w:t>HR-positiv</w:t>
            </w:r>
          </w:p>
          <w:p w:rsidR="001603E7" w:rsidRPr="00736198" w:rsidRDefault="001603E7" w:rsidP="001603E7">
            <w:pPr>
              <w:pStyle w:val="Listenabsatz"/>
              <w:numPr>
                <w:ilvl w:val="0"/>
                <w:numId w:val="4"/>
              </w:numPr>
              <w:rPr>
                <w:rFonts w:ascii="Arial" w:hAnsi="Arial" w:cs="Arial"/>
                <w:color w:val="404040" w:themeColor="text1" w:themeTint="BF"/>
              </w:rPr>
            </w:pPr>
            <w:r w:rsidRPr="00736198">
              <w:rPr>
                <w:rFonts w:ascii="Arial" w:hAnsi="Arial" w:cs="Arial"/>
                <w:color w:val="404040" w:themeColor="text1" w:themeTint="BF"/>
              </w:rPr>
              <w:t>HER2 negativ</w:t>
            </w:r>
          </w:p>
          <w:p w:rsidR="001603E7" w:rsidRPr="00736198" w:rsidRDefault="001603E7" w:rsidP="001603E7">
            <w:pPr>
              <w:pStyle w:val="Listenabsatz"/>
              <w:numPr>
                <w:ilvl w:val="0"/>
                <w:numId w:val="4"/>
              </w:numPr>
              <w:rPr>
                <w:rFonts w:ascii="Arial" w:hAnsi="Arial" w:cs="Arial"/>
                <w:color w:val="404040" w:themeColor="text1" w:themeTint="BF"/>
              </w:rPr>
            </w:pPr>
            <w:r w:rsidRPr="00736198">
              <w:rPr>
                <w:rFonts w:ascii="Arial" w:hAnsi="Arial" w:cs="Arial"/>
                <w:color w:val="404040" w:themeColor="text1" w:themeTint="BF"/>
              </w:rPr>
              <w:t>Keine palliative Vorbehandlung</w:t>
            </w:r>
          </w:p>
          <w:p w:rsidR="001603E7" w:rsidRPr="00736198" w:rsidRDefault="001603E7" w:rsidP="001603E7">
            <w:pPr>
              <w:pStyle w:val="Listenabsatz"/>
              <w:numPr>
                <w:ilvl w:val="0"/>
                <w:numId w:val="4"/>
              </w:numPr>
              <w:rPr>
                <w:rFonts w:ascii="Arial" w:hAnsi="Arial" w:cs="Arial"/>
                <w:color w:val="404040" w:themeColor="text1" w:themeTint="BF"/>
              </w:rPr>
            </w:pPr>
            <w:r w:rsidRPr="00736198">
              <w:rPr>
                <w:rFonts w:ascii="Arial" w:hAnsi="Arial" w:cs="Arial"/>
                <w:color w:val="404040" w:themeColor="text1" w:themeTint="BF"/>
              </w:rPr>
              <w:t>Progress unter antihormoneller Therapie o. max. 12 Monate danach</w:t>
            </w:r>
          </w:p>
          <w:p w:rsidR="00975ADE" w:rsidRPr="00736198" w:rsidRDefault="00975ADE" w:rsidP="001603E7">
            <w:pPr>
              <w:pStyle w:val="Listenabsatz"/>
              <w:numPr>
                <w:ilvl w:val="0"/>
                <w:numId w:val="4"/>
              </w:numPr>
              <w:rPr>
                <w:rFonts w:ascii="Arial" w:hAnsi="Arial" w:cs="Arial"/>
                <w:color w:val="404040" w:themeColor="text1" w:themeTint="BF"/>
              </w:rPr>
            </w:pPr>
            <w:r w:rsidRPr="00736198">
              <w:rPr>
                <w:rFonts w:ascii="Arial" w:hAnsi="Arial" w:cs="Arial"/>
                <w:color w:val="404040" w:themeColor="text1" w:themeTint="BF"/>
              </w:rPr>
              <w:t>PIK3CA-Genmutation</w:t>
            </w:r>
          </w:p>
        </w:tc>
        <w:tc>
          <w:tcPr>
            <w:tcW w:w="150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FFF" w:themeFill="background1"/>
          </w:tcPr>
          <w:p w:rsidR="00F420CD" w:rsidRPr="00736198" w:rsidRDefault="00F420CD" w:rsidP="00F420CD">
            <w:pPr>
              <w:rPr>
                <w:rFonts w:ascii="Arial" w:hAnsi="Arial" w:cs="Arial"/>
                <w:color w:val="404040" w:themeColor="text1" w:themeTint="BF"/>
              </w:rPr>
            </w:pPr>
            <w:r w:rsidRPr="00736198">
              <w:rPr>
                <w:rFonts w:ascii="Arial" w:hAnsi="Arial" w:cs="Arial"/>
                <w:color w:val="404040" w:themeColor="text1" w:themeTint="BF"/>
              </w:rPr>
              <w:t>rekrutierend</w:t>
            </w:r>
          </w:p>
        </w:tc>
      </w:tr>
      <w:tr w:rsidR="00F420CD" w:rsidRPr="00736198" w:rsidTr="003B315A">
        <w:trPr>
          <w:gridAfter w:val="2"/>
          <w:wAfter w:w="59" w:type="dxa"/>
          <w:trHeight w:val="444"/>
        </w:trPr>
        <w:tc>
          <w:tcPr>
            <w:tcW w:w="1986"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FFF" w:themeFill="background1"/>
          </w:tcPr>
          <w:p w:rsidR="00F420CD" w:rsidRPr="00736198" w:rsidRDefault="00F420CD" w:rsidP="00F420CD">
            <w:pPr>
              <w:rPr>
                <w:rFonts w:ascii="Arial" w:hAnsi="Arial" w:cs="Arial"/>
                <w:color w:val="404040" w:themeColor="text1" w:themeTint="BF"/>
              </w:rPr>
            </w:pPr>
            <w:r w:rsidRPr="00736198">
              <w:rPr>
                <w:rFonts w:ascii="Arial" w:hAnsi="Arial" w:cs="Arial"/>
                <w:color w:val="404040" w:themeColor="text1" w:themeTint="BF"/>
              </w:rPr>
              <w:t>Rescue</w:t>
            </w:r>
          </w:p>
        </w:tc>
        <w:tc>
          <w:tcPr>
            <w:tcW w:w="821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FFF" w:themeFill="background1"/>
          </w:tcPr>
          <w:p w:rsidR="00F420CD" w:rsidRPr="00736198" w:rsidRDefault="00F420CD" w:rsidP="00F420CD">
            <w:pPr>
              <w:jc w:val="both"/>
              <w:rPr>
                <w:rFonts w:ascii="Arial" w:hAnsi="Arial" w:cs="Arial"/>
              </w:rPr>
            </w:pPr>
            <w:r w:rsidRPr="00736198">
              <w:rPr>
                <w:rFonts w:ascii="Arial" w:hAnsi="Arial" w:cs="Arial"/>
              </w:rPr>
              <w:t xml:space="preserve">Im Rahmen dieser Studie werden die Daten zum Tumorstatus, dem EndoPredict-Testergebnis, der erfolgten Behandlung, sowie zum Therapieerfolg erhoben. Mit den innerhalb dieser Studie gewonnenen Daten möchten wir zeigen, dass </w:t>
            </w:r>
            <w:r w:rsidRPr="00736198">
              <w:rPr>
                <w:rFonts w:ascii="Arial" w:hAnsi="Arial" w:cs="Arial"/>
              </w:rPr>
              <w:lastRenderedPageBreak/>
              <w:t>Patienten, die mit Hilfe des EndoPredict-Tests der Niedrigrisikogruppe zugeordnet wurden, sicher auf eine Chemotherapie verzichten können und mit einer alleinigen antihormonellen Therapie behandelt werden können.</w:t>
            </w:r>
          </w:p>
        </w:tc>
        <w:tc>
          <w:tcPr>
            <w:tcW w:w="3046"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FFF" w:themeFill="background1"/>
          </w:tcPr>
          <w:p w:rsidR="00F420CD" w:rsidRPr="00736198" w:rsidRDefault="00F420CD" w:rsidP="00F420CD">
            <w:pPr>
              <w:pStyle w:val="Listenabsatz"/>
              <w:numPr>
                <w:ilvl w:val="0"/>
                <w:numId w:val="2"/>
              </w:numPr>
              <w:rPr>
                <w:rFonts w:ascii="Arial" w:hAnsi="Arial" w:cs="Arial"/>
                <w:color w:val="404040" w:themeColor="text1" w:themeTint="BF"/>
              </w:rPr>
            </w:pPr>
            <w:r w:rsidRPr="00736198">
              <w:rPr>
                <w:rFonts w:ascii="Arial" w:hAnsi="Arial" w:cs="Arial"/>
                <w:color w:val="404040" w:themeColor="text1" w:themeTint="BF"/>
              </w:rPr>
              <w:lastRenderedPageBreak/>
              <w:t>EndoPredict-Test</w:t>
            </w:r>
          </w:p>
          <w:p w:rsidR="00F420CD" w:rsidRPr="00736198" w:rsidRDefault="00F420CD" w:rsidP="00F420CD">
            <w:pPr>
              <w:pStyle w:val="Listenabsatz"/>
              <w:numPr>
                <w:ilvl w:val="0"/>
                <w:numId w:val="2"/>
              </w:numPr>
              <w:rPr>
                <w:rFonts w:ascii="Arial" w:hAnsi="Arial" w:cs="Arial"/>
                <w:color w:val="404040" w:themeColor="text1" w:themeTint="BF"/>
              </w:rPr>
            </w:pPr>
            <w:r w:rsidRPr="00736198">
              <w:rPr>
                <w:rFonts w:ascii="Arial" w:hAnsi="Arial" w:cs="Arial"/>
                <w:color w:val="404040" w:themeColor="text1" w:themeTint="BF"/>
              </w:rPr>
              <w:t>Mamma-Ca Stadium I/II</w:t>
            </w:r>
          </w:p>
          <w:p w:rsidR="00F420CD" w:rsidRPr="00736198" w:rsidRDefault="00F420CD" w:rsidP="00F420CD">
            <w:pPr>
              <w:pStyle w:val="Listenabsatz"/>
              <w:numPr>
                <w:ilvl w:val="0"/>
                <w:numId w:val="2"/>
              </w:numPr>
              <w:rPr>
                <w:rFonts w:ascii="Arial" w:hAnsi="Arial" w:cs="Arial"/>
                <w:color w:val="404040" w:themeColor="text1" w:themeTint="BF"/>
              </w:rPr>
            </w:pPr>
            <w:r w:rsidRPr="00736198">
              <w:rPr>
                <w:rFonts w:ascii="Arial" w:hAnsi="Arial" w:cs="Arial"/>
                <w:color w:val="404040" w:themeColor="text1" w:themeTint="BF"/>
              </w:rPr>
              <w:t>ER-positiv</w:t>
            </w:r>
          </w:p>
          <w:p w:rsidR="00F420CD" w:rsidRPr="00736198" w:rsidRDefault="00F420CD" w:rsidP="00F420CD">
            <w:pPr>
              <w:pStyle w:val="Listenabsatz"/>
              <w:numPr>
                <w:ilvl w:val="0"/>
                <w:numId w:val="2"/>
              </w:numPr>
              <w:rPr>
                <w:rFonts w:ascii="Arial" w:hAnsi="Arial" w:cs="Arial"/>
                <w:color w:val="404040" w:themeColor="text1" w:themeTint="BF"/>
              </w:rPr>
            </w:pPr>
            <w:r w:rsidRPr="00736198">
              <w:rPr>
                <w:rFonts w:ascii="Arial" w:hAnsi="Arial" w:cs="Arial"/>
                <w:color w:val="404040" w:themeColor="text1" w:themeTint="BF"/>
              </w:rPr>
              <w:lastRenderedPageBreak/>
              <w:t>HER2 negativ</w:t>
            </w:r>
          </w:p>
          <w:p w:rsidR="00F420CD" w:rsidRPr="00736198" w:rsidRDefault="00F420CD" w:rsidP="00F420CD">
            <w:pPr>
              <w:pStyle w:val="Listenabsatz"/>
              <w:numPr>
                <w:ilvl w:val="0"/>
                <w:numId w:val="2"/>
              </w:numPr>
              <w:rPr>
                <w:rFonts w:ascii="Arial" w:hAnsi="Arial" w:cs="Arial"/>
                <w:color w:val="404040" w:themeColor="text1" w:themeTint="BF"/>
              </w:rPr>
            </w:pPr>
            <w:r w:rsidRPr="00736198">
              <w:rPr>
                <w:rFonts w:ascii="Arial" w:hAnsi="Arial" w:cs="Arial"/>
                <w:color w:val="404040" w:themeColor="text1" w:themeTint="BF"/>
              </w:rPr>
              <w:t>N0/N1</w:t>
            </w:r>
          </w:p>
          <w:p w:rsidR="00F420CD" w:rsidRPr="00736198" w:rsidRDefault="00F420CD" w:rsidP="00F420CD">
            <w:pPr>
              <w:pStyle w:val="Listenabsatz"/>
              <w:numPr>
                <w:ilvl w:val="0"/>
                <w:numId w:val="2"/>
              </w:numPr>
              <w:rPr>
                <w:rFonts w:ascii="Arial" w:hAnsi="Arial" w:cs="Arial"/>
                <w:color w:val="404040" w:themeColor="text1" w:themeTint="BF"/>
              </w:rPr>
            </w:pPr>
            <w:r w:rsidRPr="00736198">
              <w:rPr>
                <w:rFonts w:ascii="Arial" w:hAnsi="Arial" w:cs="Arial"/>
                <w:color w:val="404040" w:themeColor="text1" w:themeTint="BF"/>
              </w:rPr>
              <w:t>T1-T3</w:t>
            </w:r>
          </w:p>
          <w:p w:rsidR="001603E7" w:rsidRPr="00736198" w:rsidRDefault="001603E7" w:rsidP="00F420CD">
            <w:pPr>
              <w:pStyle w:val="Listenabsatz"/>
              <w:numPr>
                <w:ilvl w:val="0"/>
                <w:numId w:val="2"/>
              </w:numPr>
              <w:rPr>
                <w:rFonts w:ascii="Arial" w:hAnsi="Arial" w:cs="Arial"/>
                <w:color w:val="404040" w:themeColor="text1" w:themeTint="BF"/>
              </w:rPr>
            </w:pPr>
            <w:r w:rsidRPr="00736198">
              <w:rPr>
                <w:rFonts w:ascii="Arial" w:hAnsi="Arial" w:cs="Arial"/>
                <w:color w:val="404040" w:themeColor="text1" w:themeTint="BF"/>
              </w:rPr>
              <w:t>adjuvant</w:t>
            </w:r>
          </w:p>
        </w:tc>
        <w:tc>
          <w:tcPr>
            <w:tcW w:w="150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FFF" w:themeFill="background1"/>
          </w:tcPr>
          <w:p w:rsidR="00F420CD" w:rsidRPr="00736198" w:rsidRDefault="00F420CD" w:rsidP="00F420CD">
            <w:pPr>
              <w:rPr>
                <w:rFonts w:ascii="Arial" w:hAnsi="Arial" w:cs="Arial"/>
                <w:color w:val="404040" w:themeColor="text1" w:themeTint="BF"/>
              </w:rPr>
            </w:pPr>
            <w:r w:rsidRPr="00736198">
              <w:rPr>
                <w:rFonts w:ascii="Arial" w:hAnsi="Arial" w:cs="Arial"/>
                <w:color w:val="404040" w:themeColor="text1" w:themeTint="BF"/>
              </w:rPr>
              <w:lastRenderedPageBreak/>
              <w:t>rekrutierend</w:t>
            </w:r>
          </w:p>
        </w:tc>
      </w:tr>
      <w:tr w:rsidR="00975ADE" w:rsidRPr="00736198" w:rsidTr="009B0EBE">
        <w:trPr>
          <w:gridAfter w:val="1"/>
          <w:wAfter w:w="8" w:type="dxa"/>
          <w:trHeight w:val="444"/>
        </w:trPr>
        <w:tc>
          <w:tcPr>
            <w:tcW w:w="14802"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8DADC"/>
          </w:tcPr>
          <w:p w:rsidR="00975ADE" w:rsidRPr="00736198" w:rsidRDefault="00975ADE" w:rsidP="00F420CD">
            <w:pPr>
              <w:rPr>
                <w:rFonts w:ascii="Arial" w:hAnsi="Arial" w:cs="Arial"/>
                <w:color w:val="404040" w:themeColor="text1" w:themeTint="BF"/>
              </w:rPr>
            </w:pPr>
            <w:r w:rsidRPr="00736198">
              <w:rPr>
                <w:rFonts w:ascii="Arial" w:hAnsi="Arial" w:cs="Arial"/>
                <w:color w:val="404040" w:themeColor="text1" w:themeTint="BF"/>
              </w:rPr>
              <w:t xml:space="preserve">Gynäkologisches Krebszentrum </w:t>
            </w:r>
          </w:p>
        </w:tc>
      </w:tr>
      <w:tr w:rsidR="00584B7E" w:rsidRPr="00736198" w:rsidTr="003B315A">
        <w:trPr>
          <w:gridAfter w:val="2"/>
          <w:wAfter w:w="59" w:type="dxa"/>
          <w:trHeight w:val="444"/>
        </w:trPr>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9B0EBE" w:rsidRPr="00736198" w:rsidRDefault="00584B7E" w:rsidP="00584B7E">
            <w:pPr>
              <w:rPr>
                <w:rFonts w:ascii="Arial" w:hAnsi="Arial" w:cs="Arial"/>
                <w:color w:val="404040" w:themeColor="text1" w:themeTint="BF"/>
              </w:rPr>
            </w:pPr>
            <w:r w:rsidRPr="00736198">
              <w:rPr>
                <w:rFonts w:ascii="Arial" w:hAnsi="Arial" w:cs="Arial"/>
                <w:color w:val="404040" w:themeColor="text1" w:themeTint="BF"/>
              </w:rPr>
              <w:t xml:space="preserve">Momentan </w:t>
            </w:r>
          </w:p>
          <w:p w:rsidR="00584B7E" w:rsidRPr="00736198" w:rsidRDefault="00584B7E" w:rsidP="00584B7E">
            <w:pPr>
              <w:rPr>
                <w:rFonts w:ascii="Arial" w:hAnsi="Arial" w:cs="Arial"/>
                <w:color w:val="404040" w:themeColor="text1" w:themeTint="BF"/>
              </w:rPr>
            </w:pPr>
            <w:r w:rsidRPr="00736198">
              <w:rPr>
                <w:rFonts w:ascii="Arial" w:hAnsi="Arial" w:cs="Arial"/>
                <w:color w:val="404040" w:themeColor="text1" w:themeTint="BF"/>
              </w:rPr>
              <w:t>keine Studien</w:t>
            </w:r>
          </w:p>
        </w:tc>
        <w:tc>
          <w:tcPr>
            <w:tcW w:w="8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584B7E" w:rsidRPr="00736198" w:rsidRDefault="00584B7E" w:rsidP="00584B7E">
            <w:pPr>
              <w:rPr>
                <w:rFonts w:ascii="Arial" w:hAnsi="Arial" w:cs="Arial"/>
                <w:color w:val="404040" w:themeColor="text1" w:themeTint="BF"/>
              </w:rPr>
            </w:pPr>
          </w:p>
        </w:tc>
        <w:tc>
          <w:tcPr>
            <w:tcW w:w="30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584B7E" w:rsidRPr="00736198" w:rsidRDefault="00584B7E" w:rsidP="00584B7E">
            <w:pPr>
              <w:rPr>
                <w:rFonts w:ascii="Arial" w:hAnsi="Arial" w:cs="Arial"/>
                <w:color w:val="404040" w:themeColor="text1" w:themeTint="BF"/>
              </w:rPr>
            </w:pPr>
          </w:p>
        </w:tc>
        <w:tc>
          <w:tcPr>
            <w:tcW w:w="1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584B7E" w:rsidRPr="00736198" w:rsidRDefault="00584B7E" w:rsidP="00584B7E">
            <w:pPr>
              <w:rPr>
                <w:rFonts w:ascii="Arial" w:hAnsi="Arial" w:cs="Arial"/>
              </w:rPr>
            </w:pPr>
          </w:p>
        </w:tc>
      </w:tr>
      <w:tr w:rsidR="00584B7E" w:rsidRPr="00736198" w:rsidTr="009B0EBE">
        <w:trPr>
          <w:gridAfter w:val="1"/>
          <w:wAfter w:w="8" w:type="dxa"/>
          <w:trHeight w:val="420"/>
        </w:trPr>
        <w:tc>
          <w:tcPr>
            <w:tcW w:w="1480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8DADC"/>
          </w:tcPr>
          <w:p w:rsidR="00584B7E" w:rsidRPr="00736198" w:rsidRDefault="00584B7E" w:rsidP="00584B7E">
            <w:pPr>
              <w:rPr>
                <w:rFonts w:ascii="Arial" w:hAnsi="Arial" w:cs="Arial"/>
                <w:color w:val="404040" w:themeColor="text1" w:themeTint="BF"/>
              </w:rPr>
            </w:pPr>
            <w:r w:rsidRPr="00736198">
              <w:rPr>
                <w:rFonts w:ascii="Arial" w:hAnsi="Arial" w:cs="Arial"/>
                <w:color w:val="404040" w:themeColor="text1" w:themeTint="BF"/>
              </w:rPr>
              <w:t xml:space="preserve">Leukämie-und Lymphomzentrum </w:t>
            </w:r>
          </w:p>
        </w:tc>
      </w:tr>
      <w:tr w:rsidR="00584B7E" w:rsidRPr="00736198" w:rsidTr="003B315A">
        <w:trPr>
          <w:gridAfter w:val="2"/>
          <w:wAfter w:w="59" w:type="dxa"/>
          <w:trHeight w:val="420"/>
        </w:trPr>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584B7E" w:rsidRPr="00736198" w:rsidRDefault="00584B7E" w:rsidP="00584B7E">
            <w:pPr>
              <w:rPr>
                <w:rFonts w:ascii="Arial" w:hAnsi="Arial" w:cs="Arial"/>
                <w:color w:val="404040" w:themeColor="text1" w:themeTint="BF"/>
              </w:rPr>
            </w:pPr>
            <w:r w:rsidRPr="00736198">
              <w:rPr>
                <w:rFonts w:ascii="Arial" w:hAnsi="Arial" w:cs="Arial"/>
                <w:color w:val="404040" w:themeColor="text1" w:themeTint="BF"/>
              </w:rPr>
              <w:t>AMLSG 28-18</w:t>
            </w:r>
          </w:p>
        </w:tc>
        <w:tc>
          <w:tcPr>
            <w:tcW w:w="8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584B7E" w:rsidRPr="00736198" w:rsidRDefault="000E07BB" w:rsidP="000E07BB">
            <w:pPr>
              <w:autoSpaceDE w:val="0"/>
              <w:autoSpaceDN w:val="0"/>
              <w:adjustRightInd w:val="0"/>
              <w:rPr>
                <w:rFonts w:ascii="Arial" w:hAnsi="Arial" w:cs="Arial"/>
                <w:color w:val="404040" w:themeColor="text1" w:themeTint="BF"/>
              </w:rPr>
            </w:pPr>
            <w:r w:rsidRPr="00736198">
              <w:rPr>
                <w:rFonts w:ascii="Arial" w:hAnsi="Arial" w:cs="Arial"/>
              </w:rPr>
              <w:t xml:space="preserve">Primäres Ziel der Studie ist der Vergleich der Behandlung mit Gilteritinib versus Midostaurin in Kombination mit der derzeitigen Standardbehandlung mit Daunorubicin und Cytarabin, gefolgt von einer einjährigen Erhaltungstherapie mit Gilteritinib versus Midostaurin. </w:t>
            </w:r>
          </w:p>
        </w:tc>
        <w:tc>
          <w:tcPr>
            <w:tcW w:w="30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584B7E" w:rsidRPr="00736198" w:rsidRDefault="00147974" w:rsidP="00616D3D">
            <w:pPr>
              <w:pStyle w:val="Listenabsatz"/>
              <w:numPr>
                <w:ilvl w:val="0"/>
                <w:numId w:val="10"/>
              </w:numPr>
              <w:rPr>
                <w:rFonts w:ascii="Arial" w:hAnsi="Arial" w:cs="Arial"/>
                <w:color w:val="404040" w:themeColor="text1" w:themeTint="BF"/>
              </w:rPr>
            </w:pPr>
            <w:r w:rsidRPr="00736198">
              <w:rPr>
                <w:rFonts w:ascii="Arial" w:hAnsi="Arial" w:cs="Arial"/>
                <w:color w:val="404040" w:themeColor="text1" w:themeTint="BF"/>
              </w:rPr>
              <w:t xml:space="preserve">Neu diagnostizierte </w:t>
            </w:r>
            <w:r w:rsidR="00616D3D" w:rsidRPr="00736198">
              <w:rPr>
                <w:rFonts w:ascii="Arial" w:hAnsi="Arial" w:cs="Arial"/>
                <w:color w:val="404040" w:themeColor="text1" w:themeTint="BF"/>
              </w:rPr>
              <w:t>AML o. MDS mit Blastenkrise</w:t>
            </w:r>
          </w:p>
          <w:p w:rsidR="00616D3D" w:rsidRPr="00736198" w:rsidRDefault="00616D3D" w:rsidP="00616D3D">
            <w:pPr>
              <w:pStyle w:val="Listenabsatz"/>
              <w:numPr>
                <w:ilvl w:val="0"/>
                <w:numId w:val="10"/>
              </w:numPr>
              <w:rPr>
                <w:rFonts w:ascii="Arial" w:hAnsi="Arial" w:cs="Arial"/>
                <w:color w:val="404040" w:themeColor="text1" w:themeTint="BF"/>
              </w:rPr>
            </w:pPr>
            <w:r w:rsidRPr="00736198">
              <w:rPr>
                <w:rFonts w:ascii="Arial" w:hAnsi="Arial" w:cs="Arial"/>
                <w:color w:val="404040" w:themeColor="text1" w:themeTint="BF"/>
              </w:rPr>
              <w:t>FLT3 Mutation</w:t>
            </w:r>
          </w:p>
        </w:tc>
        <w:tc>
          <w:tcPr>
            <w:tcW w:w="1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584B7E" w:rsidRPr="00736198" w:rsidRDefault="00584B7E" w:rsidP="00584B7E">
            <w:pPr>
              <w:rPr>
                <w:rFonts w:ascii="Arial" w:hAnsi="Arial" w:cs="Arial"/>
              </w:rPr>
            </w:pPr>
            <w:r w:rsidRPr="00736198">
              <w:rPr>
                <w:rFonts w:ascii="Arial" w:hAnsi="Arial" w:cs="Arial"/>
                <w:color w:val="404040" w:themeColor="text1" w:themeTint="BF"/>
              </w:rPr>
              <w:t>rekrutierend</w:t>
            </w:r>
          </w:p>
        </w:tc>
      </w:tr>
      <w:tr w:rsidR="000E07BB" w:rsidRPr="00736198" w:rsidTr="003B315A">
        <w:trPr>
          <w:gridAfter w:val="2"/>
          <w:wAfter w:w="59" w:type="dxa"/>
          <w:trHeight w:val="420"/>
        </w:trPr>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0E07BB" w:rsidRPr="00736198" w:rsidRDefault="000E07BB" w:rsidP="000E07BB">
            <w:pPr>
              <w:rPr>
                <w:rFonts w:ascii="Arial" w:hAnsi="Arial" w:cs="Arial"/>
                <w:color w:val="404040" w:themeColor="text1" w:themeTint="BF"/>
              </w:rPr>
            </w:pPr>
            <w:r w:rsidRPr="00736198">
              <w:rPr>
                <w:rFonts w:ascii="Arial" w:hAnsi="Arial" w:cs="Arial"/>
                <w:color w:val="404040" w:themeColor="text1" w:themeTint="BF"/>
              </w:rPr>
              <w:t>AMLSG 29-18</w:t>
            </w:r>
          </w:p>
        </w:tc>
        <w:tc>
          <w:tcPr>
            <w:tcW w:w="8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47974" w:rsidRPr="00736198" w:rsidRDefault="00147974" w:rsidP="00147974">
            <w:pPr>
              <w:autoSpaceDE w:val="0"/>
              <w:autoSpaceDN w:val="0"/>
              <w:adjustRightInd w:val="0"/>
              <w:rPr>
                <w:rFonts w:ascii="Arial" w:hAnsi="Arial" w:cs="Arial"/>
              </w:rPr>
            </w:pPr>
            <w:r w:rsidRPr="00736198">
              <w:rPr>
                <w:rFonts w:ascii="Arial" w:hAnsi="Arial" w:cs="Arial"/>
              </w:rPr>
              <w:t>In dieser klinischen Prüfung soll untersucht werden, ob durch die Hinzunahme der IDH-Hemmstoffe zur intensiven Standardbehandlung und die anschließende Erhaltungstherapie mit dem jeweiligen IDH-Hemmstoff die Behandlungsergebnisse und die Heilungsraten</w:t>
            </w:r>
          </w:p>
          <w:p w:rsidR="000E07BB" w:rsidRPr="00736198" w:rsidRDefault="00147974" w:rsidP="00147974">
            <w:pPr>
              <w:rPr>
                <w:rFonts w:ascii="Arial" w:hAnsi="Arial" w:cs="Arial"/>
                <w:color w:val="404040" w:themeColor="text1" w:themeTint="BF"/>
              </w:rPr>
            </w:pPr>
            <w:r w:rsidRPr="00736198">
              <w:rPr>
                <w:rFonts w:ascii="Arial" w:hAnsi="Arial" w:cs="Arial"/>
              </w:rPr>
              <w:t>verbessert werden können.</w:t>
            </w:r>
          </w:p>
        </w:tc>
        <w:tc>
          <w:tcPr>
            <w:tcW w:w="30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0E07BB" w:rsidRPr="00736198" w:rsidRDefault="00147974" w:rsidP="00147974">
            <w:pPr>
              <w:pStyle w:val="Listenabsatz"/>
              <w:numPr>
                <w:ilvl w:val="0"/>
                <w:numId w:val="10"/>
              </w:numPr>
              <w:rPr>
                <w:rFonts w:ascii="Arial" w:hAnsi="Arial" w:cs="Arial"/>
                <w:color w:val="404040" w:themeColor="text1" w:themeTint="BF"/>
              </w:rPr>
            </w:pPr>
            <w:r w:rsidRPr="00736198">
              <w:rPr>
                <w:rFonts w:ascii="Arial" w:hAnsi="Arial" w:cs="Arial"/>
                <w:color w:val="404040" w:themeColor="text1" w:themeTint="BF"/>
              </w:rPr>
              <w:t xml:space="preserve">Neu diagnostizierte </w:t>
            </w:r>
            <w:r w:rsidR="000E07BB" w:rsidRPr="00736198">
              <w:rPr>
                <w:rFonts w:ascii="Arial" w:hAnsi="Arial" w:cs="Arial"/>
                <w:color w:val="404040" w:themeColor="text1" w:themeTint="BF"/>
              </w:rPr>
              <w:t>AML o. MDS mit Blastenkrise</w:t>
            </w:r>
          </w:p>
          <w:p w:rsidR="000E07BB" w:rsidRPr="00736198" w:rsidRDefault="004D1B61" w:rsidP="000E07BB">
            <w:pPr>
              <w:pStyle w:val="Listenabsatz"/>
              <w:numPr>
                <w:ilvl w:val="0"/>
                <w:numId w:val="10"/>
              </w:numPr>
              <w:rPr>
                <w:rFonts w:ascii="Arial" w:hAnsi="Arial" w:cs="Arial"/>
                <w:color w:val="404040" w:themeColor="text1" w:themeTint="BF"/>
              </w:rPr>
            </w:pPr>
            <w:r w:rsidRPr="00736198">
              <w:rPr>
                <w:rFonts w:ascii="Arial" w:hAnsi="Arial" w:cs="Arial"/>
                <w:color w:val="404040" w:themeColor="text1" w:themeTint="BF"/>
              </w:rPr>
              <w:t>IDH 1 o. IDH 2</w:t>
            </w:r>
            <w:r w:rsidR="000E07BB" w:rsidRPr="00736198">
              <w:rPr>
                <w:rFonts w:ascii="Arial" w:hAnsi="Arial" w:cs="Arial"/>
                <w:color w:val="404040" w:themeColor="text1" w:themeTint="BF"/>
              </w:rPr>
              <w:t xml:space="preserve"> Mutation</w:t>
            </w:r>
          </w:p>
        </w:tc>
        <w:tc>
          <w:tcPr>
            <w:tcW w:w="1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0E07BB" w:rsidRPr="00736198" w:rsidRDefault="000E07BB" w:rsidP="000E07BB">
            <w:pPr>
              <w:rPr>
                <w:rFonts w:ascii="Arial" w:hAnsi="Arial" w:cs="Arial"/>
              </w:rPr>
            </w:pPr>
            <w:r w:rsidRPr="00736198">
              <w:rPr>
                <w:rFonts w:ascii="Arial" w:hAnsi="Arial" w:cs="Arial"/>
                <w:color w:val="404040" w:themeColor="text1" w:themeTint="BF"/>
              </w:rPr>
              <w:t>rekrutierend</w:t>
            </w:r>
          </w:p>
        </w:tc>
      </w:tr>
      <w:tr w:rsidR="000E07BB" w:rsidRPr="00736198" w:rsidTr="003B315A">
        <w:trPr>
          <w:gridAfter w:val="2"/>
          <w:wAfter w:w="59" w:type="dxa"/>
          <w:trHeight w:val="420"/>
        </w:trPr>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0E07BB" w:rsidRPr="00736198" w:rsidRDefault="000E07BB" w:rsidP="000E07BB">
            <w:pPr>
              <w:rPr>
                <w:rFonts w:ascii="Arial" w:hAnsi="Arial" w:cs="Arial"/>
                <w:color w:val="404040" w:themeColor="text1" w:themeTint="BF"/>
              </w:rPr>
            </w:pPr>
            <w:r w:rsidRPr="00736198">
              <w:rPr>
                <w:rFonts w:ascii="Arial" w:hAnsi="Arial" w:cs="Arial"/>
                <w:color w:val="404040" w:themeColor="text1" w:themeTint="BF"/>
              </w:rPr>
              <w:t>AMLSG 30-18</w:t>
            </w:r>
          </w:p>
        </w:tc>
        <w:tc>
          <w:tcPr>
            <w:tcW w:w="8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0E07BB" w:rsidRPr="00736198" w:rsidRDefault="00147974" w:rsidP="00147974">
            <w:pPr>
              <w:autoSpaceDE w:val="0"/>
              <w:autoSpaceDN w:val="0"/>
              <w:adjustRightInd w:val="0"/>
              <w:rPr>
                <w:rFonts w:ascii="Arial" w:hAnsi="Arial" w:cs="Arial"/>
                <w:color w:val="404040" w:themeColor="text1" w:themeTint="BF"/>
              </w:rPr>
            </w:pPr>
            <w:r w:rsidRPr="00736198">
              <w:rPr>
                <w:rFonts w:ascii="Arial" w:hAnsi="Arial" w:cs="Arial"/>
              </w:rPr>
              <w:t>In dieser Studie werden Patienten / Patientinnen mit der Erstdiagnose einer AML und intermediären oder ungünstigen genetischen Veränderungen, oder mit der Erstdiagnose einer sekundären oder Therapie-assoziierten AML behandelt. Primäres Ziel ist die Ermittlung, ob die Behandlung mit CPX-351 der derzeitigen Standardbehandlung mit Daunorubicin und Cytarabin überlegen ist.</w:t>
            </w:r>
          </w:p>
        </w:tc>
        <w:tc>
          <w:tcPr>
            <w:tcW w:w="30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0E07BB" w:rsidRPr="00736198" w:rsidRDefault="00147974" w:rsidP="004D1B61">
            <w:pPr>
              <w:pStyle w:val="Listenabsatz"/>
              <w:numPr>
                <w:ilvl w:val="0"/>
                <w:numId w:val="10"/>
              </w:numPr>
              <w:rPr>
                <w:rFonts w:ascii="Arial" w:hAnsi="Arial" w:cs="Arial"/>
                <w:color w:val="404040" w:themeColor="text1" w:themeTint="BF"/>
              </w:rPr>
            </w:pPr>
            <w:r w:rsidRPr="00736198">
              <w:rPr>
                <w:rFonts w:ascii="Arial" w:hAnsi="Arial" w:cs="Arial"/>
                <w:color w:val="404040" w:themeColor="text1" w:themeTint="BF"/>
              </w:rPr>
              <w:t xml:space="preserve">Neu diagnostizierte </w:t>
            </w:r>
            <w:r w:rsidR="000E07BB" w:rsidRPr="00736198">
              <w:rPr>
                <w:rFonts w:ascii="Arial" w:hAnsi="Arial" w:cs="Arial"/>
                <w:color w:val="404040" w:themeColor="text1" w:themeTint="BF"/>
              </w:rPr>
              <w:t xml:space="preserve">AML </w:t>
            </w:r>
          </w:p>
          <w:p w:rsidR="00147974" w:rsidRPr="00736198" w:rsidRDefault="00147974" w:rsidP="004D1B61">
            <w:pPr>
              <w:pStyle w:val="Listenabsatz"/>
              <w:numPr>
                <w:ilvl w:val="0"/>
                <w:numId w:val="10"/>
              </w:numPr>
              <w:rPr>
                <w:rFonts w:ascii="Arial" w:hAnsi="Arial" w:cs="Arial"/>
                <w:color w:val="404040" w:themeColor="text1" w:themeTint="BF"/>
              </w:rPr>
            </w:pPr>
            <w:r w:rsidRPr="00736198">
              <w:rPr>
                <w:rFonts w:ascii="Arial" w:hAnsi="Arial" w:cs="Arial"/>
              </w:rPr>
              <w:t>intermediärem bzw. ungünstigem genetischen Risiko</w:t>
            </w:r>
          </w:p>
          <w:p w:rsidR="00147974" w:rsidRPr="00736198" w:rsidRDefault="00147974" w:rsidP="00147974">
            <w:pPr>
              <w:pStyle w:val="Listenabsatz"/>
              <w:ind w:left="360"/>
              <w:rPr>
                <w:rFonts w:ascii="Arial" w:hAnsi="Arial" w:cs="Arial"/>
                <w:color w:val="404040" w:themeColor="text1" w:themeTint="BF"/>
              </w:rPr>
            </w:pPr>
          </w:p>
        </w:tc>
        <w:tc>
          <w:tcPr>
            <w:tcW w:w="1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0E07BB" w:rsidRPr="00736198" w:rsidRDefault="000E07BB" w:rsidP="000E07BB">
            <w:pPr>
              <w:rPr>
                <w:rFonts w:ascii="Arial" w:hAnsi="Arial" w:cs="Arial"/>
              </w:rPr>
            </w:pPr>
            <w:r w:rsidRPr="00736198">
              <w:rPr>
                <w:rFonts w:ascii="Arial" w:hAnsi="Arial" w:cs="Arial"/>
                <w:color w:val="404040" w:themeColor="text1" w:themeTint="BF"/>
              </w:rPr>
              <w:t>rekrutierend</w:t>
            </w:r>
          </w:p>
        </w:tc>
      </w:tr>
      <w:tr w:rsidR="00147974" w:rsidRPr="00736198" w:rsidTr="003B315A">
        <w:trPr>
          <w:gridAfter w:val="2"/>
          <w:wAfter w:w="59" w:type="dxa"/>
          <w:trHeight w:val="420"/>
        </w:trPr>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47974" w:rsidRPr="00736198" w:rsidRDefault="00147974" w:rsidP="00147974">
            <w:pPr>
              <w:rPr>
                <w:rFonts w:ascii="Arial" w:hAnsi="Arial" w:cs="Arial"/>
                <w:color w:val="404040" w:themeColor="text1" w:themeTint="BF"/>
              </w:rPr>
            </w:pPr>
            <w:r w:rsidRPr="00736198">
              <w:rPr>
                <w:rFonts w:ascii="Arial" w:hAnsi="Arial" w:cs="Arial"/>
                <w:color w:val="404040" w:themeColor="text1" w:themeTint="BF"/>
              </w:rPr>
              <w:t>AMLSG Bio</w:t>
            </w:r>
          </w:p>
        </w:tc>
        <w:tc>
          <w:tcPr>
            <w:tcW w:w="8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47974" w:rsidRPr="00736198" w:rsidRDefault="00E0569A" w:rsidP="00EE07BC">
            <w:pPr>
              <w:rPr>
                <w:rFonts w:ascii="Arial" w:hAnsi="Arial" w:cs="Arial"/>
                <w:color w:val="404040" w:themeColor="text1" w:themeTint="BF"/>
              </w:rPr>
            </w:pPr>
            <w:r w:rsidRPr="00736198">
              <w:rPr>
                <w:rFonts w:ascii="Arial" w:hAnsi="Arial" w:cs="Arial"/>
              </w:rPr>
              <w:t>Das Ziel dieser Studie ist es, alle Patienten mit AML und Hoch-Risiko MDS in allen Kliniken, die an der Registerstudie teilnehmen,</w:t>
            </w:r>
            <w:r w:rsidR="00EE07BC" w:rsidRPr="00736198">
              <w:rPr>
                <w:rFonts w:ascii="Arial" w:hAnsi="Arial" w:cs="Arial"/>
              </w:rPr>
              <w:t xml:space="preserve"> </w:t>
            </w:r>
            <w:r w:rsidRPr="00736198">
              <w:rPr>
                <w:rFonts w:ascii="Arial" w:hAnsi="Arial" w:cs="Arial"/>
              </w:rPr>
              <w:t>in der Studienzentrale der AMLSG zu registrieren und eine zeitnahe zytogenetische und molekulargenetische</w:t>
            </w:r>
            <w:r w:rsidR="00EE07BC" w:rsidRPr="00736198">
              <w:rPr>
                <w:rFonts w:ascii="Arial" w:hAnsi="Arial" w:cs="Arial"/>
              </w:rPr>
              <w:t xml:space="preserve"> Unter</w:t>
            </w:r>
            <w:r w:rsidRPr="00736198">
              <w:rPr>
                <w:rFonts w:ascii="Arial" w:hAnsi="Arial" w:cs="Arial"/>
              </w:rPr>
              <w:t xml:space="preserve">suchung der bösartigen Zellen </w:t>
            </w:r>
            <w:r w:rsidR="00EE07BC" w:rsidRPr="00736198">
              <w:rPr>
                <w:rFonts w:ascii="Arial" w:hAnsi="Arial" w:cs="Arial"/>
              </w:rPr>
              <w:t>d</w:t>
            </w:r>
            <w:r w:rsidRPr="00736198">
              <w:rPr>
                <w:rFonts w:ascii="Arial" w:hAnsi="Arial" w:cs="Arial"/>
              </w:rPr>
              <w:t>urchzuführen.</w:t>
            </w:r>
            <w:r w:rsidR="00EE07BC" w:rsidRPr="00736198">
              <w:rPr>
                <w:rFonts w:ascii="Arial" w:hAnsi="Arial" w:cs="Arial"/>
              </w:rPr>
              <w:t xml:space="preserve"> </w:t>
            </w:r>
            <w:r w:rsidRPr="00736198">
              <w:rPr>
                <w:rFonts w:ascii="Arial" w:hAnsi="Arial" w:cs="Arial"/>
              </w:rPr>
              <w:t>Voraussetzung hierfür ist die Gewinnung von Proben aus Blut</w:t>
            </w:r>
            <w:r w:rsidR="00EE07BC" w:rsidRPr="00736198">
              <w:rPr>
                <w:rFonts w:ascii="Arial" w:hAnsi="Arial" w:cs="Arial"/>
              </w:rPr>
              <w:t xml:space="preserve"> </w:t>
            </w:r>
            <w:r w:rsidRPr="00736198">
              <w:rPr>
                <w:rFonts w:ascii="Arial" w:hAnsi="Arial" w:cs="Arial"/>
              </w:rPr>
              <w:t>und Knochenmark. Überschüssiges Material soll für Forschungszwecke in der AMLSG Biobank aufbewahrt werden.</w:t>
            </w:r>
            <w:r w:rsidR="00EE07BC" w:rsidRPr="00736198">
              <w:rPr>
                <w:rFonts w:ascii="Arial" w:hAnsi="Arial" w:cs="Arial"/>
              </w:rPr>
              <w:t xml:space="preserve"> Durch die Auf</w:t>
            </w:r>
            <w:r w:rsidRPr="00736198">
              <w:rPr>
                <w:rFonts w:ascii="Arial" w:hAnsi="Arial" w:cs="Arial"/>
              </w:rPr>
              <w:t xml:space="preserve">bewahrung kann das Material zu einem späteren </w:t>
            </w:r>
            <w:r w:rsidR="00EE07BC" w:rsidRPr="00736198">
              <w:rPr>
                <w:rFonts w:ascii="Arial" w:hAnsi="Arial" w:cs="Arial"/>
              </w:rPr>
              <w:t>Zeitpunkt mit Hilfe anderer Ver</w:t>
            </w:r>
            <w:r w:rsidRPr="00736198">
              <w:rPr>
                <w:rFonts w:ascii="Arial" w:hAnsi="Arial" w:cs="Arial"/>
              </w:rPr>
              <w:t>fahren auf krankheitsrelevante Veränderungen untersucht werden, die man heute noch nicht kennt.</w:t>
            </w:r>
          </w:p>
        </w:tc>
        <w:tc>
          <w:tcPr>
            <w:tcW w:w="30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47974" w:rsidRPr="00736198" w:rsidRDefault="00147974" w:rsidP="00147974">
            <w:pPr>
              <w:pStyle w:val="Listenabsatz"/>
              <w:numPr>
                <w:ilvl w:val="0"/>
                <w:numId w:val="10"/>
              </w:numPr>
              <w:rPr>
                <w:rFonts w:ascii="Arial" w:hAnsi="Arial" w:cs="Arial"/>
                <w:color w:val="404040" w:themeColor="text1" w:themeTint="BF"/>
              </w:rPr>
            </w:pPr>
            <w:r w:rsidRPr="00736198">
              <w:rPr>
                <w:rFonts w:ascii="Arial" w:hAnsi="Arial" w:cs="Arial"/>
                <w:color w:val="404040" w:themeColor="text1" w:themeTint="BF"/>
              </w:rPr>
              <w:t xml:space="preserve">Neu diagnostizierte AML </w:t>
            </w:r>
          </w:p>
          <w:p w:rsidR="00147974" w:rsidRPr="00736198" w:rsidRDefault="00147974" w:rsidP="00147974">
            <w:pPr>
              <w:pStyle w:val="Listenabsatz"/>
              <w:numPr>
                <w:ilvl w:val="0"/>
                <w:numId w:val="10"/>
              </w:numPr>
              <w:rPr>
                <w:rFonts w:ascii="Arial" w:hAnsi="Arial" w:cs="Arial"/>
                <w:color w:val="404040" w:themeColor="text1" w:themeTint="BF"/>
              </w:rPr>
            </w:pPr>
            <w:r w:rsidRPr="00736198">
              <w:rPr>
                <w:rFonts w:ascii="Arial" w:hAnsi="Arial" w:cs="Arial"/>
                <w:color w:val="404040" w:themeColor="text1" w:themeTint="BF"/>
              </w:rPr>
              <w:t>Alter &gt;18 Jahre</w:t>
            </w:r>
          </w:p>
        </w:tc>
        <w:tc>
          <w:tcPr>
            <w:tcW w:w="1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47974" w:rsidRPr="00736198" w:rsidRDefault="00147974" w:rsidP="00147974">
            <w:pPr>
              <w:rPr>
                <w:rFonts w:ascii="Arial" w:hAnsi="Arial" w:cs="Arial"/>
              </w:rPr>
            </w:pPr>
            <w:r w:rsidRPr="00736198">
              <w:rPr>
                <w:rFonts w:ascii="Arial" w:hAnsi="Arial" w:cs="Arial"/>
                <w:color w:val="404040" w:themeColor="text1" w:themeTint="BF"/>
              </w:rPr>
              <w:t>rekrutierend</w:t>
            </w:r>
          </w:p>
        </w:tc>
      </w:tr>
      <w:tr w:rsidR="00147974" w:rsidRPr="00736198" w:rsidTr="003B315A">
        <w:trPr>
          <w:gridAfter w:val="2"/>
          <w:wAfter w:w="59" w:type="dxa"/>
          <w:trHeight w:val="420"/>
        </w:trPr>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47974" w:rsidRPr="00736198" w:rsidRDefault="00147974" w:rsidP="00147974">
            <w:pPr>
              <w:rPr>
                <w:rFonts w:ascii="Arial" w:hAnsi="Arial" w:cs="Arial"/>
                <w:color w:val="404040" w:themeColor="text1" w:themeTint="BF"/>
              </w:rPr>
            </w:pPr>
            <w:r w:rsidRPr="00736198">
              <w:rPr>
                <w:rFonts w:ascii="Arial" w:hAnsi="Arial" w:cs="Arial"/>
                <w:color w:val="404040" w:themeColor="text1" w:themeTint="BF"/>
              </w:rPr>
              <w:lastRenderedPageBreak/>
              <w:t>HD21</w:t>
            </w:r>
          </w:p>
        </w:tc>
        <w:tc>
          <w:tcPr>
            <w:tcW w:w="8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47974" w:rsidRPr="00736198" w:rsidRDefault="00EE07BC" w:rsidP="00EE07BC">
            <w:pPr>
              <w:rPr>
                <w:rFonts w:ascii="Arial" w:hAnsi="Arial" w:cs="Arial"/>
                <w:color w:val="404040" w:themeColor="text1" w:themeTint="BF"/>
              </w:rPr>
            </w:pPr>
            <w:r w:rsidRPr="00736198">
              <w:rPr>
                <w:rFonts w:ascii="Arial" w:hAnsi="Arial" w:cs="Arial"/>
              </w:rPr>
              <w:t>Ziel der Studie ist es, mit dem neuen Schema BrECADD die Nebenwirkungen der Standardtherapie (BEACOPPeskaliert) zu reduzieren, die Lebensqualität der betroffenen Patienten zu verbessern und dabei gleichzeitig die gute Wirksamkeit gegen das Hodgkin Lymphom zu erhalten.</w:t>
            </w:r>
          </w:p>
        </w:tc>
        <w:tc>
          <w:tcPr>
            <w:tcW w:w="30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47974" w:rsidRPr="00736198" w:rsidRDefault="00EE07BC" w:rsidP="00EE07BC">
            <w:pPr>
              <w:pStyle w:val="Listenabsatz"/>
              <w:numPr>
                <w:ilvl w:val="0"/>
                <w:numId w:val="11"/>
              </w:numPr>
              <w:rPr>
                <w:rFonts w:ascii="Arial" w:hAnsi="Arial" w:cs="Arial"/>
                <w:color w:val="404040" w:themeColor="text1" w:themeTint="BF"/>
              </w:rPr>
            </w:pPr>
            <w:r w:rsidRPr="00736198">
              <w:rPr>
                <w:rFonts w:ascii="Arial" w:hAnsi="Arial" w:cs="Arial"/>
                <w:color w:val="404040" w:themeColor="text1" w:themeTint="BF"/>
              </w:rPr>
              <w:t>Morbus Hodgkin</w:t>
            </w:r>
          </w:p>
          <w:p w:rsidR="00EE07BC" w:rsidRPr="00736198" w:rsidRDefault="00EE07BC" w:rsidP="00EE07BC">
            <w:pPr>
              <w:pStyle w:val="Listenabsatz"/>
              <w:numPr>
                <w:ilvl w:val="0"/>
                <w:numId w:val="11"/>
              </w:numPr>
              <w:rPr>
                <w:rFonts w:ascii="Arial" w:hAnsi="Arial" w:cs="Arial"/>
                <w:color w:val="404040" w:themeColor="text1" w:themeTint="BF"/>
              </w:rPr>
            </w:pPr>
            <w:r w:rsidRPr="00736198">
              <w:rPr>
                <w:rFonts w:ascii="Arial" w:hAnsi="Arial" w:cs="Arial"/>
                <w:color w:val="404040" w:themeColor="text1" w:themeTint="BF"/>
              </w:rPr>
              <w:t>Stadium III/IV</w:t>
            </w:r>
          </w:p>
          <w:p w:rsidR="00EE07BC" w:rsidRPr="00736198" w:rsidRDefault="00EE07BC" w:rsidP="00EE07BC">
            <w:pPr>
              <w:pStyle w:val="Listenabsatz"/>
              <w:numPr>
                <w:ilvl w:val="0"/>
                <w:numId w:val="11"/>
              </w:numPr>
              <w:rPr>
                <w:rFonts w:ascii="Arial" w:hAnsi="Arial" w:cs="Arial"/>
                <w:color w:val="404040" w:themeColor="text1" w:themeTint="BF"/>
              </w:rPr>
            </w:pPr>
            <w:r w:rsidRPr="00736198">
              <w:rPr>
                <w:rFonts w:ascii="Arial" w:hAnsi="Arial" w:cs="Arial"/>
                <w:color w:val="404040" w:themeColor="text1" w:themeTint="BF"/>
              </w:rPr>
              <w:t>Nur noch Alter &gt; 60 Jahre</w:t>
            </w:r>
          </w:p>
        </w:tc>
        <w:tc>
          <w:tcPr>
            <w:tcW w:w="1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47974" w:rsidRPr="00736198" w:rsidRDefault="00147974" w:rsidP="00147974">
            <w:pPr>
              <w:rPr>
                <w:rFonts w:ascii="Arial" w:hAnsi="Arial" w:cs="Arial"/>
              </w:rPr>
            </w:pPr>
            <w:r w:rsidRPr="00736198">
              <w:rPr>
                <w:rFonts w:ascii="Arial" w:hAnsi="Arial" w:cs="Arial"/>
                <w:color w:val="404040" w:themeColor="text1" w:themeTint="BF"/>
              </w:rPr>
              <w:t>rekrutierend</w:t>
            </w:r>
          </w:p>
        </w:tc>
      </w:tr>
      <w:tr w:rsidR="00147974" w:rsidRPr="00736198" w:rsidTr="003B315A">
        <w:trPr>
          <w:gridAfter w:val="2"/>
          <w:wAfter w:w="59" w:type="dxa"/>
          <w:trHeight w:val="420"/>
        </w:trPr>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47974" w:rsidRPr="00736198" w:rsidRDefault="00147974" w:rsidP="00147974">
            <w:pPr>
              <w:rPr>
                <w:rFonts w:ascii="Arial" w:hAnsi="Arial" w:cs="Arial"/>
                <w:color w:val="404040" w:themeColor="text1" w:themeTint="BF"/>
              </w:rPr>
            </w:pPr>
            <w:r w:rsidRPr="00736198">
              <w:rPr>
                <w:rFonts w:ascii="Arial" w:hAnsi="Arial" w:cs="Arial"/>
                <w:color w:val="404040" w:themeColor="text1" w:themeTint="BF"/>
              </w:rPr>
              <w:t>Goal II</w:t>
            </w:r>
          </w:p>
        </w:tc>
        <w:tc>
          <w:tcPr>
            <w:tcW w:w="8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47974" w:rsidRPr="00736198" w:rsidRDefault="003F1CFD" w:rsidP="003F1CFD">
            <w:pPr>
              <w:rPr>
                <w:rFonts w:ascii="Arial" w:hAnsi="Arial" w:cs="Arial"/>
                <w:color w:val="404040" w:themeColor="text1" w:themeTint="BF"/>
              </w:rPr>
            </w:pPr>
            <w:r w:rsidRPr="00736198">
              <w:rPr>
                <w:rFonts w:ascii="Arial" w:hAnsi="Arial" w:cs="Arial"/>
              </w:rPr>
              <w:t>In bisherigen Studien wurde geprüft, ob Tafasitamab anstelle von Rituximab eingesetzt werden kann – eine Kombination mit dem etablierten Antikörper wurde bisher nicht geprüft, kann aber im Sinne einer Therapieoptimierung sinnvoll sein. Daher testen wir ob die Hinzunahme von Tafasitamab zu einer üblichen Chemoimmuntherapie zusätzlichen Nutzen bringt. Insbesondere prüfen wir, ob der Anteil an Patienten, die auf eine Therapie ansprechen, sowie die Ansprechdauer verbessert werden kann.</w:t>
            </w:r>
          </w:p>
        </w:tc>
        <w:tc>
          <w:tcPr>
            <w:tcW w:w="30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47974" w:rsidRPr="00736198" w:rsidRDefault="00EE07BC" w:rsidP="00EE07BC">
            <w:pPr>
              <w:pStyle w:val="Listenabsatz"/>
              <w:numPr>
                <w:ilvl w:val="0"/>
                <w:numId w:val="12"/>
              </w:numPr>
              <w:rPr>
                <w:rFonts w:ascii="Arial" w:hAnsi="Arial" w:cs="Arial"/>
                <w:color w:val="404040" w:themeColor="text1" w:themeTint="BF"/>
              </w:rPr>
            </w:pPr>
            <w:r w:rsidRPr="00736198">
              <w:rPr>
                <w:rFonts w:ascii="Arial" w:hAnsi="Arial" w:cs="Arial"/>
                <w:color w:val="404040" w:themeColor="text1" w:themeTint="BF"/>
              </w:rPr>
              <w:t>Rezidiviertes</w:t>
            </w:r>
            <w:r w:rsidR="003F1CFD" w:rsidRPr="00736198">
              <w:rPr>
                <w:rFonts w:ascii="Arial" w:hAnsi="Arial" w:cs="Arial"/>
                <w:color w:val="404040" w:themeColor="text1" w:themeTint="BF"/>
              </w:rPr>
              <w:t xml:space="preserve"> o. </w:t>
            </w:r>
            <w:r w:rsidRPr="00736198">
              <w:rPr>
                <w:rFonts w:ascii="Arial" w:hAnsi="Arial" w:cs="Arial"/>
                <w:color w:val="404040" w:themeColor="text1" w:themeTint="BF"/>
              </w:rPr>
              <w:t>refraktäres</w:t>
            </w:r>
            <w:r w:rsidR="003F1CFD" w:rsidRPr="00736198">
              <w:rPr>
                <w:rFonts w:ascii="Arial" w:hAnsi="Arial" w:cs="Arial"/>
                <w:color w:val="404040" w:themeColor="text1" w:themeTint="BF"/>
              </w:rPr>
              <w:t>,</w:t>
            </w:r>
            <w:r w:rsidRPr="00736198">
              <w:rPr>
                <w:rFonts w:ascii="Arial" w:hAnsi="Arial" w:cs="Arial"/>
                <w:color w:val="404040" w:themeColor="text1" w:themeTint="BF"/>
              </w:rPr>
              <w:t xml:space="preserve"> aggressives Lymphom</w:t>
            </w:r>
          </w:p>
          <w:p w:rsidR="00EE07BC" w:rsidRPr="00736198" w:rsidRDefault="00EE07BC" w:rsidP="003F1CFD">
            <w:pPr>
              <w:pStyle w:val="Listenabsatz"/>
              <w:ind w:left="360"/>
              <w:rPr>
                <w:rFonts w:ascii="Arial" w:hAnsi="Arial" w:cs="Arial"/>
                <w:color w:val="404040" w:themeColor="text1" w:themeTint="BF"/>
              </w:rPr>
            </w:pPr>
          </w:p>
        </w:tc>
        <w:tc>
          <w:tcPr>
            <w:tcW w:w="1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47974" w:rsidRPr="00736198" w:rsidRDefault="00147974" w:rsidP="00147974">
            <w:pPr>
              <w:rPr>
                <w:rFonts w:ascii="Arial" w:hAnsi="Arial" w:cs="Arial"/>
              </w:rPr>
            </w:pPr>
            <w:r w:rsidRPr="00736198">
              <w:rPr>
                <w:rFonts w:ascii="Arial" w:hAnsi="Arial" w:cs="Arial"/>
                <w:color w:val="404040" w:themeColor="text1" w:themeTint="BF"/>
              </w:rPr>
              <w:t>rekrutierend</w:t>
            </w:r>
          </w:p>
        </w:tc>
      </w:tr>
      <w:tr w:rsidR="00147974" w:rsidRPr="00736198" w:rsidTr="003B315A">
        <w:trPr>
          <w:gridAfter w:val="2"/>
          <w:wAfter w:w="59" w:type="dxa"/>
          <w:trHeight w:val="420"/>
        </w:trPr>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47974" w:rsidRPr="00736198" w:rsidRDefault="00147974" w:rsidP="00147974">
            <w:pPr>
              <w:rPr>
                <w:rFonts w:ascii="Arial" w:hAnsi="Arial" w:cs="Arial"/>
                <w:color w:val="404040" w:themeColor="text1" w:themeTint="BF"/>
              </w:rPr>
            </w:pPr>
            <w:r w:rsidRPr="00736198">
              <w:rPr>
                <w:rFonts w:ascii="Arial" w:hAnsi="Arial" w:cs="Arial"/>
                <w:color w:val="404040" w:themeColor="text1" w:themeTint="BF"/>
              </w:rPr>
              <w:t>Alternative C</w:t>
            </w:r>
          </w:p>
        </w:tc>
        <w:tc>
          <w:tcPr>
            <w:tcW w:w="8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47974" w:rsidRPr="00736198" w:rsidRDefault="003F1CFD" w:rsidP="003F1CFD">
            <w:pPr>
              <w:rPr>
                <w:rFonts w:ascii="Arial" w:hAnsi="Arial" w:cs="Arial"/>
                <w:color w:val="404040" w:themeColor="text1" w:themeTint="BF"/>
              </w:rPr>
            </w:pPr>
            <w:r w:rsidRPr="00736198">
              <w:rPr>
                <w:rFonts w:ascii="Arial" w:hAnsi="Arial" w:cs="Arial"/>
              </w:rPr>
              <w:t>Von der Durchführung der vorgesehenen klinischen Prüfung erhoffen wir uns, die Wirkungen der Kombination von Obinutuzumab und Copanlisib ohne weitere Chemotherapie analysieren zu können. Hierzu möchten wir die Therapieergebnisse, aber auch die Nebenwirkungen dieser Kombination, unter den standardisierten Bedingungen einer Therapiestudie erfassen.</w:t>
            </w:r>
          </w:p>
        </w:tc>
        <w:tc>
          <w:tcPr>
            <w:tcW w:w="30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47974" w:rsidRPr="00736198" w:rsidRDefault="003F1CFD" w:rsidP="003F1CFD">
            <w:pPr>
              <w:pStyle w:val="Listenabsatz"/>
              <w:numPr>
                <w:ilvl w:val="0"/>
                <w:numId w:val="12"/>
              </w:numPr>
              <w:rPr>
                <w:rFonts w:ascii="Arial" w:hAnsi="Arial" w:cs="Arial"/>
                <w:color w:val="404040" w:themeColor="text1" w:themeTint="BF"/>
              </w:rPr>
            </w:pPr>
            <w:r w:rsidRPr="00736198">
              <w:rPr>
                <w:rFonts w:ascii="Arial" w:hAnsi="Arial" w:cs="Arial"/>
                <w:color w:val="404040" w:themeColor="text1" w:themeTint="BF"/>
              </w:rPr>
              <w:t>Follikuläres Lymphom Grad 1, 2 o. 3a</w:t>
            </w:r>
          </w:p>
          <w:p w:rsidR="003F1CFD" w:rsidRPr="00736198" w:rsidRDefault="003F1CFD" w:rsidP="003F1CFD">
            <w:pPr>
              <w:pStyle w:val="Listenabsatz"/>
              <w:numPr>
                <w:ilvl w:val="0"/>
                <w:numId w:val="12"/>
              </w:numPr>
              <w:rPr>
                <w:rFonts w:ascii="Arial" w:hAnsi="Arial" w:cs="Arial"/>
                <w:color w:val="404040" w:themeColor="text1" w:themeTint="BF"/>
              </w:rPr>
            </w:pPr>
            <w:r w:rsidRPr="00736198">
              <w:rPr>
                <w:rFonts w:ascii="Arial" w:hAnsi="Arial" w:cs="Arial"/>
                <w:color w:val="404040" w:themeColor="text1" w:themeTint="BF"/>
              </w:rPr>
              <w:t>Stadium III/IV</w:t>
            </w:r>
          </w:p>
          <w:p w:rsidR="003F1CFD" w:rsidRPr="00736198" w:rsidRDefault="003F1CFD" w:rsidP="003F1CFD">
            <w:pPr>
              <w:pStyle w:val="Listenabsatz"/>
              <w:numPr>
                <w:ilvl w:val="0"/>
                <w:numId w:val="12"/>
              </w:numPr>
              <w:rPr>
                <w:rFonts w:ascii="Arial" w:hAnsi="Arial" w:cs="Arial"/>
                <w:color w:val="404040" w:themeColor="text1" w:themeTint="BF"/>
              </w:rPr>
            </w:pPr>
            <w:r w:rsidRPr="00736198">
              <w:rPr>
                <w:rFonts w:ascii="Arial" w:hAnsi="Arial" w:cs="Arial"/>
                <w:color w:val="404040" w:themeColor="text1" w:themeTint="BF"/>
              </w:rPr>
              <w:t>Keine Vortherapie</w:t>
            </w:r>
          </w:p>
        </w:tc>
        <w:tc>
          <w:tcPr>
            <w:tcW w:w="1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47974" w:rsidRPr="00736198" w:rsidRDefault="00147974" w:rsidP="00147974">
            <w:pPr>
              <w:rPr>
                <w:rFonts w:ascii="Arial" w:hAnsi="Arial" w:cs="Arial"/>
              </w:rPr>
            </w:pPr>
            <w:r w:rsidRPr="00736198">
              <w:rPr>
                <w:rFonts w:ascii="Arial" w:hAnsi="Arial" w:cs="Arial"/>
                <w:color w:val="404040" w:themeColor="text1" w:themeTint="BF"/>
              </w:rPr>
              <w:t>rekrutierend</w:t>
            </w:r>
          </w:p>
        </w:tc>
      </w:tr>
      <w:tr w:rsidR="00DA5B78" w:rsidRPr="00736198" w:rsidTr="003B315A">
        <w:trPr>
          <w:gridAfter w:val="2"/>
          <w:wAfter w:w="59" w:type="dxa"/>
          <w:trHeight w:val="420"/>
        </w:trPr>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DA5B78" w:rsidRPr="00736198" w:rsidRDefault="00DA5B78" w:rsidP="00DA5B78">
            <w:pPr>
              <w:rPr>
                <w:rFonts w:ascii="Arial" w:hAnsi="Arial" w:cs="Arial"/>
                <w:color w:val="404040" w:themeColor="text1" w:themeTint="BF"/>
              </w:rPr>
            </w:pPr>
            <w:r w:rsidRPr="00736198">
              <w:rPr>
                <w:rFonts w:ascii="Arial" w:hAnsi="Arial" w:cs="Arial"/>
                <w:color w:val="404040" w:themeColor="text1" w:themeTint="BF"/>
              </w:rPr>
              <w:t>Niveau</w:t>
            </w:r>
          </w:p>
        </w:tc>
        <w:tc>
          <w:tcPr>
            <w:tcW w:w="8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DA5B78" w:rsidRPr="00736198" w:rsidRDefault="00DA5B78" w:rsidP="00DA5B78">
            <w:pPr>
              <w:rPr>
                <w:rFonts w:ascii="Arial" w:hAnsi="Arial" w:cs="Arial"/>
                <w:color w:val="404040" w:themeColor="text1" w:themeTint="BF"/>
              </w:rPr>
            </w:pPr>
            <w:r w:rsidRPr="00736198">
              <w:rPr>
                <w:rFonts w:ascii="Arial" w:hAnsi="Arial" w:cs="Arial"/>
              </w:rPr>
              <w:t>Es wird geprüft, ob durch die Hinzunahme von Nivolumab zur konventionellen Chemotherapie bzw. Immunochemotherapie die Behandlungsergebnisse verbessert werden können.</w:t>
            </w:r>
          </w:p>
        </w:tc>
        <w:tc>
          <w:tcPr>
            <w:tcW w:w="30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DA5B78" w:rsidRPr="00736198" w:rsidRDefault="00DA5B78" w:rsidP="00DA5B78">
            <w:pPr>
              <w:pStyle w:val="Listenabsatz"/>
              <w:numPr>
                <w:ilvl w:val="0"/>
                <w:numId w:val="12"/>
              </w:numPr>
              <w:rPr>
                <w:rFonts w:ascii="Arial" w:hAnsi="Arial" w:cs="Arial"/>
                <w:color w:val="404040" w:themeColor="text1" w:themeTint="BF"/>
              </w:rPr>
            </w:pPr>
            <w:r w:rsidRPr="00736198">
              <w:rPr>
                <w:rFonts w:ascii="Arial" w:hAnsi="Arial" w:cs="Arial"/>
                <w:color w:val="404040" w:themeColor="text1" w:themeTint="BF"/>
              </w:rPr>
              <w:t>Rezidiviertes o. refraktäres, aggressives Lymphom</w:t>
            </w:r>
          </w:p>
          <w:p w:rsidR="00DA5B78" w:rsidRPr="00736198" w:rsidRDefault="00DA5B78" w:rsidP="00DA5B78">
            <w:pPr>
              <w:pStyle w:val="Listenabsatz"/>
              <w:ind w:left="360"/>
              <w:rPr>
                <w:rFonts w:ascii="Arial" w:hAnsi="Arial" w:cs="Arial"/>
                <w:color w:val="404040" w:themeColor="text1" w:themeTint="BF"/>
              </w:rPr>
            </w:pPr>
          </w:p>
        </w:tc>
        <w:tc>
          <w:tcPr>
            <w:tcW w:w="1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DA5B78" w:rsidRPr="00736198" w:rsidRDefault="00DA5B78" w:rsidP="00DA5B78">
            <w:pPr>
              <w:rPr>
                <w:rFonts w:ascii="Arial" w:hAnsi="Arial" w:cs="Arial"/>
              </w:rPr>
            </w:pPr>
            <w:r w:rsidRPr="00736198">
              <w:rPr>
                <w:rFonts w:ascii="Arial" w:hAnsi="Arial" w:cs="Arial"/>
                <w:color w:val="404040" w:themeColor="text1" w:themeTint="BF"/>
              </w:rPr>
              <w:t>rekrutierend</w:t>
            </w:r>
          </w:p>
        </w:tc>
      </w:tr>
      <w:tr w:rsidR="00DA5B78" w:rsidRPr="00736198" w:rsidTr="003B315A">
        <w:trPr>
          <w:gridAfter w:val="2"/>
          <w:wAfter w:w="59" w:type="dxa"/>
          <w:trHeight w:val="420"/>
        </w:trPr>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DA5B78" w:rsidRPr="00736198" w:rsidRDefault="00DA5B78" w:rsidP="00DA5B78">
            <w:pPr>
              <w:rPr>
                <w:rFonts w:ascii="Arial" w:hAnsi="Arial" w:cs="Arial"/>
                <w:color w:val="404040" w:themeColor="text1" w:themeTint="BF"/>
              </w:rPr>
            </w:pPr>
            <w:r w:rsidRPr="00736198">
              <w:rPr>
                <w:rFonts w:ascii="Arial" w:hAnsi="Arial" w:cs="Arial"/>
                <w:color w:val="404040" w:themeColor="text1" w:themeTint="BF"/>
              </w:rPr>
              <w:t>Pola-R-ICE</w:t>
            </w:r>
          </w:p>
        </w:tc>
        <w:tc>
          <w:tcPr>
            <w:tcW w:w="8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DA5B78" w:rsidRPr="00736198" w:rsidRDefault="009B0EBE" w:rsidP="009B0EBE">
            <w:pPr>
              <w:rPr>
                <w:rFonts w:ascii="Arial" w:hAnsi="Arial" w:cs="Arial"/>
                <w:color w:val="404040" w:themeColor="text1" w:themeTint="BF"/>
              </w:rPr>
            </w:pPr>
            <w:r w:rsidRPr="00736198">
              <w:rPr>
                <w:rFonts w:ascii="Arial" w:hAnsi="Arial" w:cs="Arial"/>
              </w:rPr>
              <w:t>Ziel der Studie ist es, den Behandlungserfolg und die Verträglichkeit der Chemotherapie aus einer Kombination der Wirkstoffe Rituximab, Ifosfamid, Carboplatin und Etoposid mit und ohne Zusatz von Polatuzumab Vedotin im Vergleich zu untersuchen und zu klären, ob der Zusatz von Polatuzumab Vedotin zu einer verbesserten Wirksamkeit führt.</w:t>
            </w:r>
          </w:p>
        </w:tc>
        <w:tc>
          <w:tcPr>
            <w:tcW w:w="30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DA5B78" w:rsidRPr="00736198" w:rsidRDefault="00DA5B78" w:rsidP="00DA5B78">
            <w:pPr>
              <w:pStyle w:val="Listenabsatz"/>
              <w:numPr>
                <w:ilvl w:val="0"/>
                <w:numId w:val="12"/>
              </w:numPr>
              <w:rPr>
                <w:rFonts w:ascii="Arial" w:hAnsi="Arial" w:cs="Arial"/>
                <w:color w:val="404040" w:themeColor="text1" w:themeTint="BF"/>
              </w:rPr>
            </w:pPr>
            <w:r w:rsidRPr="00736198">
              <w:rPr>
                <w:rFonts w:ascii="Arial" w:hAnsi="Arial" w:cs="Arial"/>
                <w:color w:val="404040" w:themeColor="text1" w:themeTint="BF"/>
              </w:rPr>
              <w:t>Rezidiviertes o. refraktäres, aggressives Lymphom</w:t>
            </w:r>
          </w:p>
          <w:p w:rsidR="00DA5B78" w:rsidRPr="00736198" w:rsidRDefault="00DA5B78" w:rsidP="00DA5B78">
            <w:pPr>
              <w:pStyle w:val="Listenabsatz"/>
              <w:ind w:left="360"/>
              <w:rPr>
                <w:rFonts w:ascii="Arial" w:hAnsi="Arial" w:cs="Arial"/>
                <w:color w:val="404040" w:themeColor="text1" w:themeTint="BF"/>
              </w:rPr>
            </w:pPr>
          </w:p>
        </w:tc>
        <w:tc>
          <w:tcPr>
            <w:tcW w:w="1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DA5B78" w:rsidRPr="00736198" w:rsidRDefault="00DA5B78" w:rsidP="00DA5B78">
            <w:pPr>
              <w:rPr>
                <w:rFonts w:ascii="Arial" w:hAnsi="Arial" w:cs="Arial"/>
              </w:rPr>
            </w:pPr>
            <w:r w:rsidRPr="00736198">
              <w:rPr>
                <w:rFonts w:ascii="Arial" w:hAnsi="Arial" w:cs="Arial"/>
                <w:color w:val="404040" w:themeColor="text1" w:themeTint="BF"/>
              </w:rPr>
              <w:t>rekrutierend</w:t>
            </w:r>
          </w:p>
        </w:tc>
      </w:tr>
      <w:tr w:rsidR="00DA5B78" w:rsidRPr="00736198" w:rsidTr="009B0EBE">
        <w:trPr>
          <w:gridAfter w:val="1"/>
          <w:wAfter w:w="8" w:type="dxa"/>
          <w:trHeight w:val="420"/>
        </w:trPr>
        <w:tc>
          <w:tcPr>
            <w:tcW w:w="1480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8DADC"/>
          </w:tcPr>
          <w:p w:rsidR="00DA5B78" w:rsidRPr="00736198" w:rsidRDefault="00DA5B78" w:rsidP="00DA5B78">
            <w:pPr>
              <w:rPr>
                <w:rFonts w:ascii="Arial" w:hAnsi="Arial" w:cs="Arial"/>
                <w:color w:val="404040" w:themeColor="text1" w:themeTint="BF"/>
              </w:rPr>
            </w:pPr>
            <w:r w:rsidRPr="00736198">
              <w:rPr>
                <w:rFonts w:ascii="Arial" w:hAnsi="Arial" w:cs="Arial"/>
                <w:color w:val="404040" w:themeColor="text1" w:themeTint="BF"/>
              </w:rPr>
              <w:t xml:space="preserve">Kopf-Hals-Tumorzentrum </w:t>
            </w:r>
          </w:p>
        </w:tc>
      </w:tr>
      <w:tr w:rsidR="003B315A" w:rsidRPr="00736198" w:rsidTr="003B315A">
        <w:trPr>
          <w:gridAfter w:val="2"/>
          <w:wAfter w:w="59" w:type="dxa"/>
          <w:trHeight w:val="444"/>
        </w:trPr>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3B315A" w:rsidRDefault="003B315A" w:rsidP="003B315A">
            <w:pPr>
              <w:rPr>
                <w:rFonts w:ascii="Arial" w:hAnsi="Arial" w:cs="Arial"/>
                <w:color w:val="404040" w:themeColor="text1" w:themeTint="BF"/>
              </w:rPr>
            </w:pPr>
            <w:bookmarkStart w:id="0" w:name="_GoBack" w:colFirst="0" w:colLast="3"/>
            <w:r w:rsidRPr="003B315A">
              <w:rPr>
                <w:rFonts w:ascii="Arial" w:hAnsi="Arial" w:cs="Arial"/>
              </w:rPr>
              <w:t>HPV_OropharynxCa</w:t>
            </w:r>
          </w:p>
        </w:tc>
        <w:tc>
          <w:tcPr>
            <w:tcW w:w="8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3B315A" w:rsidRDefault="003B315A" w:rsidP="003B315A">
            <w:pPr>
              <w:rPr>
                <w:rFonts w:ascii="Arial" w:hAnsi="Arial" w:cs="Arial"/>
                <w:color w:val="404040" w:themeColor="text1" w:themeTint="BF"/>
              </w:rPr>
            </w:pPr>
            <w:r w:rsidRPr="003B315A">
              <w:rPr>
                <w:rFonts w:ascii="Arial" w:hAnsi="Arial" w:cs="Arial"/>
              </w:rPr>
              <w:t>Eine epidemiologische Erfassung von HPV-assoziierten Oropharynxtumoren sowie der Einfluss der HPV-Impfung auf die Häufigkeit von HPV-assoziierten Oropharynxtumoren</w:t>
            </w:r>
            <w:r>
              <w:rPr>
                <w:rFonts w:ascii="Arial" w:hAnsi="Arial" w:cs="Arial"/>
              </w:rPr>
              <w:t>.</w:t>
            </w:r>
          </w:p>
        </w:tc>
        <w:tc>
          <w:tcPr>
            <w:tcW w:w="30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3B315A" w:rsidRDefault="003B315A" w:rsidP="003B315A">
            <w:pPr>
              <w:pStyle w:val="Listenabsatz"/>
              <w:numPr>
                <w:ilvl w:val="0"/>
                <w:numId w:val="12"/>
              </w:numPr>
              <w:rPr>
                <w:rFonts w:ascii="Arial" w:hAnsi="Arial" w:cs="Arial"/>
                <w:color w:val="404040" w:themeColor="text1" w:themeTint="BF"/>
              </w:rPr>
            </w:pPr>
            <w:r>
              <w:rPr>
                <w:rFonts w:ascii="Arial" w:hAnsi="Arial" w:cs="Arial"/>
                <w:color w:val="404040" w:themeColor="text1" w:themeTint="BF"/>
              </w:rPr>
              <w:t>Neu diagnostiziertes Oropharynxcarcinom</w:t>
            </w:r>
          </w:p>
        </w:tc>
        <w:tc>
          <w:tcPr>
            <w:tcW w:w="1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rPr>
                <w:rFonts w:ascii="Arial" w:hAnsi="Arial" w:cs="Arial"/>
              </w:rPr>
            </w:pPr>
            <w:r w:rsidRPr="00736198">
              <w:rPr>
                <w:rFonts w:ascii="Arial" w:hAnsi="Arial" w:cs="Arial"/>
                <w:color w:val="404040" w:themeColor="text1" w:themeTint="BF"/>
              </w:rPr>
              <w:t>rekrutierend</w:t>
            </w:r>
          </w:p>
        </w:tc>
      </w:tr>
      <w:bookmarkEnd w:id="0"/>
      <w:tr w:rsidR="003B315A" w:rsidRPr="00736198" w:rsidTr="009B0EBE">
        <w:trPr>
          <w:trHeight w:val="420"/>
        </w:trPr>
        <w:tc>
          <w:tcPr>
            <w:tcW w:w="1481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8DADC"/>
          </w:tcPr>
          <w:p w:rsidR="003B315A" w:rsidRPr="00736198" w:rsidRDefault="003B315A" w:rsidP="003B315A">
            <w:pPr>
              <w:rPr>
                <w:rFonts w:ascii="Arial" w:hAnsi="Arial" w:cs="Arial"/>
                <w:color w:val="404040" w:themeColor="text1" w:themeTint="BF"/>
              </w:rPr>
            </w:pPr>
            <w:r w:rsidRPr="00736198">
              <w:rPr>
                <w:rFonts w:ascii="Arial" w:hAnsi="Arial" w:cs="Arial"/>
                <w:color w:val="404040" w:themeColor="text1" w:themeTint="BF"/>
              </w:rPr>
              <w:t xml:space="preserve">Darmkrebszentrum </w:t>
            </w:r>
          </w:p>
        </w:tc>
      </w:tr>
      <w:tr w:rsidR="003B315A" w:rsidRPr="00736198" w:rsidTr="003B315A">
        <w:trPr>
          <w:gridAfter w:val="2"/>
          <w:wAfter w:w="59" w:type="dxa"/>
          <w:trHeight w:val="420"/>
        </w:trPr>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rPr>
                <w:rFonts w:ascii="Arial" w:hAnsi="Arial" w:cs="Arial"/>
                <w:color w:val="404040" w:themeColor="text1" w:themeTint="BF"/>
              </w:rPr>
            </w:pPr>
            <w:r w:rsidRPr="00736198">
              <w:rPr>
                <w:rFonts w:ascii="Arial" w:hAnsi="Arial" w:cs="Arial"/>
                <w:color w:val="404040" w:themeColor="text1" w:themeTint="BF"/>
              </w:rPr>
              <w:t>AIO 18.1</w:t>
            </w:r>
          </w:p>
        </w:tc>
        <w:tc>
          <w:tcPr>
            <w:tcW w:w="8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rPr>
                <w:rFonts w:ascii="Arial" w:hAnsi="Arial" w:cs="Arial"/>
                <w:color w:val="404040" w:themeColor="text1" w:themeTint="BF"/>
              </w:rPr>
            </w:pPr>
            <w:r w:rsidRPr="00736198">
              <w:rPr>
                <w:rFonts w:ascii="Arial" w:hAnsi="Arial" w:cs="Arial"/>
              </w:rPr>
              <w:t xml:space="preserve">Unser Ziel ist es, die Behandlungsergebnisse der Standardtherapie bezüglich Wirksamkeit und Verträglichkeit sowie Aspekten der Lebensqualität und des Organerhalts weiter zu verbessern. Wir haben gelernt, dass nach </w:t>
            </w:r>
            <w:r w:rsidRPr="00736198">
              <w:rPr>
                <w:rFonts w:ascii="Arial" w:hAnsi="Arial" w:cs="Arial"/>
              </w:rPr>
              <w:lastRenderedPageBreak/>
              <w:t>neoadjuvanter Therapie der Tumor bei der feingeweblichen Aufarbeitung des OP-Präparates durch den Pathologen nicht selten nicht mehr nachweisbar ist. Eine solche sog. „pathologische Komplettremission“ wird bei ca. 30% der Patienten beschrieben. Wir wollen daher in unserer Studie nach Abschluss der neoadjuvanten und vor eigentlich geplanter OP prüfen, ob der Tumor bei Ihnen klinisch überhaupt noch nachweisbar ist.</w:t>
            </w:r>
          </w:p>
        </w:tc>
        <w:tc>
          <w:tcPr>
            <w:tcW w:w="30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pStyle w:val="Listenabsatz"/>
              <w:numPr>
                <w:ilvl w:val="0"/>
                <w:numId w:val="5"/>
              </w:numPr>
              <w:rPr>
                <w:rFonts w:ascii="Arial" w:hAnsi="Arial" w:cs="Arial"/>
                <w:color w:val="404040" w:themeColor="text1" w:themeTint="BF"/>
              </w:rPr>
            </w:pPr>
            <w:r w:rsidRPr="00736198">
              <w:rPr>
                <w:rFonts w:ascii="Arial" w:hAnsi="Arial" w:cs="Arial"/>
                <w:color w:val="404040" w:themeColor="text1" w:themeTint="BF"/>
              </w:rPr>
              <w:lastRenderedPageBreak/>
              <w:t>neoadjuvant</w:t>
            </w:r>
          </w:p>
          <w:p w:rsidR="003B315A" w:rsidRPr="00736198" w:rsidRDefault="003B315A" w:rsidP="003B315A">
            <w:pPr>
              <w:pStyle w:val="Listenabsatz"/>
              <w:numPr>
                <w:ilvl w:val="0"/>
                <w:numId w:val="5"/>
              </w:numPr>
              <w:rPr>
                <w:rFonts w:ascii="Arial" w:hAnsi="Arial" w:cs="Arial"/>
                <w:color w:val="404040" w:themeColor="text1" w:themeTint="BF"/>
              </w:rPr>
            </w:pPr>
            <w:r w:rsidRPr="00736198">
              <w:rPr>
                <w:rFonts w:ascii="Arial" w:hAnsi="Arial" w:cs="Arial"/>
                <w:color w:val="404040" w:themeColor="text1" w:themeTint="BF"/>
              </w:rPr>
              <w:t>intermediate und high risk Patienten</w:t>
            </w:r>
          </w:p>
          <w:p w:rsidR="003B315A" w:rsidRPr="00736198" w:rsidRDefault="003B315A" w:rsidP="003B315A">
            <w:pPr>
              <w:pStyle w:val="Listenabsatz"/>
              <w:ind w:left="360"/>
              <w:rPr>
                <w:rFonts w:ascii="Arial" w:hAnsi="Arial" w:cs="Arial"/>
                <w:color w:val="404040" w:themeColor="text1" w:themeTint="BF"/>
              </w:rPr>
            </w:pPr>
          </w:p>
        </w:tc>
        <w:tc>
          <w:tcPr>
            <w:tcW w:w="1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rPr>
                <w:rFonts w:ascii="Arial" w:hAnsi="Arial" w:cs="Arial"/>
                <w:color w:val="404040" w:themeColor="text1" w:themeTint="BF"/>
              </w:rPr>
            </w:pPr>
            <w:r w:rsidRPr="00736198">
              <w:rPr>
                <w:rFonts w:ascii="Arial" w:hAnsi="Arial" w:cs="Arial"/>
                <w:color w:val="404040" w:themeColor="text1" w:themeTint="BF"/>
              </w:rPr>
              <w:lastRenderedPageBreak/>
              <w:t>rekrutierend</w:t>
            </w:r>
          </w:p>
        </w:tc>
      </w:tr>
      <w:tr w:rsidR="003B315A" w:rsidRPr="00736198" w:rsidTr="003B315A">
        <w:trPr>
          <w:gridAfter w:val="2"/>
          <w:wAfter w:w="59" w:type="dxa"/>
          <w:trHeight w:val="420"/>
        </w:trPr>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rPr>
                <w:rFonts w:ascii="Arial" w:hAnsi="Arial" w:cs="Arial"/>
                <w:color w:val="404040" w:themeColor="text1" w:themeTint="BF"/>
              </w:rPr>
            </w:pPr>
            <w:r w:rsidRPr="00736198">
              <w:rPr>
                <w:rFonts w:ascii="Arial" w:hAnsi="Arial" w:cs="Arial"/>
                <w:color w:val="404040" w:themeColor="text1" w:themeTint="BF"/>
              </w:rPr>
              <w:t>AIO 18.2</w:t>
            </w:r>
          </w:p>
        </w:tc>
        <w:tc>
          <w:tcPr>
            <w:tcW w:w="8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spacing w:before="120" w:after="120"/>
              <w:rPr>
                <w:rFonts w:ascii="Arial" w:hAnsi="Arial" w:cs="Arial"/>
              </w:rPr>
            </w:pPr>
            <w:r w:rsidRPr="00736198">
              <w:rPr>
                <w:rFonts w:ascii="Arial" w:hAnsi="Arial" w:cs="Arial"/>
              </w:rPr>
              <w:t>In dieser klinischen Prüfung möchten wir untersuchen, ob die Verabreichung der Chemotherapie (mFOLFOX6) vor der Operation zu besseren Ergebnissen führen kann als eine Chemotherapie nach der Operation.</w:t>
            </w:r>
          </w:p>
        </w:tc>
        <w:tc>
          <w:tcPr>
            <w:tcW w:w="30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pStyle w:val="Listenabsatz"/>
              <w:numPr>
                <w:ilvl w:val="0"/>
                <w:numId w:val="5"/>
              </w:numPr>
              <w:rPr>
                <w:rFonts w:ascii="Arial" w:hAnsi="Arial" w:cs="Arial"/>
                <w:color w:val="404040" w:themeColor="text1" w:themeTint="BF"/>
              </w:rPr>
            </w:pPr>
            <w:r w:rsidRPr="00736198">
              <w:rPr>
                <w:rFonts w:ascii="Arial" w:hAnsi="Arial" w:cs="Arial"/>
                <w:color w:val="404040" w:themeColor="text1" w:themeTint="BF"/>
              </w:rPr>
              <w:t>neoadjuvant</w:t>
            </w:r>
          </w:p>
          <w:p w:rsidR="003B315A" w:rsidRPr="00736198" w:rsidRDefault="003B315A" w:rsidP="003B315A">
            <w:pPr>
              <w:pStyle w:val="Listenabsatz"/>
              <w:numPr>
                <w:ilvl w:val="0"/>
                <w:numId w:val="5"/>
              </w:numPr>
              <w:rPr>
                <w:rFonts w:ascii="Arial" w:hAnsi="Arial" w:cs="Arial"/>
                <w:color w:val="404040" w:themeColor="text1" w:themeTint="BF"/>
              </w:rPr>
            </w:pPr>
            <w:r w:rsidRPr="00736198">
              <w:rPr>
                <w:rFonts w:ascii="Arial" w:hAnsi="Arial" w:cs="Arial"/>
                <w:color w:val="404040" w:themeColor="text1" w:themeTint="BF"/>
              </w:rPr>
              <w:t>low risk Patienten</w:t>
            </w:r>
          </w:p>
          <w:p w:rsidR="003B315A" w:rsidRPr="00736198" w:rsidRDefault="003B315A" w:rsidP="003B315A">
            <w:pPr>
              <w:pStyle w:val="Listenabsatz"/>
              <w:ind w:left="360"/>
              <w:rPr>
                <w:rFonts w:ascii="Arial" w:hAnsi="Arial" w:cs="Arial"/>
                <w:color w:val="404040" w:themeColor="text1" w:themeTint="BF"/>
              </w:rPr>
            </w:pPr>
          </w:p>
        </w:tc>
        <w:tc>
          <w:tcPr>
            <w:tcW w:w="1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rPr>
                <w:rFonts w:ascii="Arial" w:hAnsi="Arial" w:cs="Arial"/>
              </w:rPr>
            </w:pPr>
            <w:r w:rsidRPr="00736198">
              <w:rPr>
                <w:rFonts w:ascii="Arial" w:hAnsi="Arial" w:cs="Arial"/>
                <w:color w:val="404040" w:themeColor="text1" w:themeTint="BF"/>
              </w:rPr>
              <w:t>rekrutierend</w:t>
            </w:r>
          </w:p>
        </w:tc>
      </w:tr>
      <w:tr w:rsidR="003B315A" w:rsidRPr="00736198" w:rsidTr="003B315A">
        <w:trPr>
          <w:gridAfter w:val="2"/>
          <w:wAfter w:w="59" w:type="dxa"/>
          <w:trHeight w:val="420"/>
        </w:trPr>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rPr>
                <w:rFonts w:ascii="Arial" w:hAnsi="Arial" w:cs="Arial"/>
                <w:color w:val="404040" w:themeColor="text1" w:themeTint="BF"/>
              </w:rPr>
            </w:pPr>
            <w:r w:rsidRPr="00736198">
              <w:rPr>
                <w:rFonts w:ascii="Arial" w:hAnsi="Arial" w:cs="Arial"/>
                <w:color w:val="404040" w:themeColor="text1" w:themeTint="BF"/>
              </w:rPr>
              <w:t>Circulate</w:t>
            </w:r>
          </w:p>
        </w:tc>
        <w:tc>
          <w:tcPr>
            <w:tcW w:w="8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rPr>
                <w:rFonts w:ascii="Arial" w:hAnsi="Arial" w:cs="Arial"/>
                <w:color w:val="404040" w:themeColor="text1" w:themeTint="BF"/>
              </w:rPr>
            </w:pPr>
            <w:r w:rsidRPr="00736198">
              <w:rPr>
                <w:rFonts w:ascii="Arial" w:hAnsi="Arial" w:cs="Arial"/>
                <w:bCs/>
              </w:rPr>
              <w:t>Wir wollen in der Studie untersuchen, ob wir mit einer Chemotherapie Rückfälle bei Patienten mit einem Tumor im Stadium II verhindern können, bei denen nach einem Blut-Test ein hohes Rückfallrisiko besteht. Die meisten Patienten werden nach dem Test ein niedriges Risiko haben und keine Chemotherapie erhalten.</w:t>
            </w:r>
          </w:p>
        </w:tc>
        <w:tc>
          <w:tcPr>
            <w:tcW w:w="30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pStyle w:val="Listenabsatz"/>
              <w:numPr>
                <w:ilvl w:val="0"/>
                <w:numId w:val="6"/>
              </w:numPr>
              <w:rPr>
                <w:rFonts w:ascii="Arial" w:hAnsi="Arial" w:cs="Arial"/>
                <w:color w:val="404040" w:themeColor="text1" w:themeTint="BF"/>
              </w:rPr>
            </w:pPr>
            <w:r w:rsidRPr="00736198">
              <w:rPr>
                <w:rFonts w:ascii="Arial" w:hAnsi="Arial" w:cs="Arial"/>
                <w:color w:val="404040" w:themeColor="text1" w:themeTint="BF"/>
              </w:rPr>
              <w:t>adjuvant</w:t>
            </w:r>
          </w:p>
          <w:p w:rsidR="003B315A" w:rsidRPr="00736198" w:rsidRDefault="003B315A" w:rsidP="003B315A">
            <w:pPr>
              <w:pStyle w:val="Listenabsatz"/>
              <w:numPr>
                <w:ilvl w:val="0"/>
                <w:numId w:val="6"/>
              </w:numPr>
              <w:rPr>
                <w:rFonts w:ascii="Arial" w:hAnsi="Arial" w:cs="Arial"/>
                <w:color w:val="404040" w:themeColor="text1" w:themeTint="BF"/>
              </w:rPr>
            </w:pPr>
            <w:r w:rsidRPr="00736198">
              <w:rPr>
                <w:rFonts w:ascii="Arial" w:hAnsi="Arial" w:cs="Arial"/>
                <w:color w:val="404040" w:themeColor="text1" w:themeTint="BF"/>
              </w:rPr>
              <w:t>Stadium II</w:t>
            </w:r>
          </w:p>
          <w:p w:rsidR="003B315A" w:rsidRPr="00736198" w:rsidRDefault="003B315A" w:rsidP="003B315A">
            <w:pPr>
              <w:pStyle w:val="Listenabsatz"/>
              <w:numPr>
                <w:ilvl w:val="0"/>
                <w:numId w:val="6"/>
              </w:numPr>
              <w:rPr>
                <w:rFonts w:ascii="Arial" w:hAnsi="Arial" w:cs="Arial"/>
                <w:color w:val="404040" w:themeColor="text1" w:themeTint="BF"/>
              </w:rPr>
            </w:pPr>
            <w:r w:rsidRPr="00736198">
              <w:rPr>
                <w:rFonts w:ascii="Arial" w:hAnsi="Arial" w:cs="Arial"/>
                <w:color w:val="404040" w:themeColor="text1" w:themeTint="BF"/>
              </w:rPr>
              <w:t>Keine Vortherapie</w:t>
            </w:r>
          </w:p>
        </w:tc>
        <w:tc>
          <w:tcPr>
            <w:tcW w:w="1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rPr>
                <w:rFonts w:ascii="Arial" w:hAnsi="Arial" w:cs="Arial"/>
              </w:rPr>
            </w:pPr>
            <w:r w:rsidRPr="00736198">
              <w:rPr>
                <w:rFonts w:ascii="Arial" w:hAnsi="Arial" w:cs="Arial"/>
                <w:color w:val="404040" w:themeColor="text1" w:themeTint="BF"/>
              </w:rPr>
              <w:t>rekrutierend</w:t>
            </w:r>
          </w:p>
        </w:tc>
      </w:tr>
      <w:tr w:rsidR="003B315A" w:rsidRPr="00736198" w:rsidTr="003B315A">
        <w:trPr>
          <w:gridAfter w:val="2"/>
          <w:wAfter w:w="59" w:type="dxa"/>
          <w:trHeight w:val="420"/>
        </w:trPr>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rPr>
                <w:rFonts w:ascii="Arial" w:hAnsi="Arial" w:cs="Arial"/>
                <w:color w:val="404040" w:themeColor="text1" w:themeTint="BF"/>
              </w:rPr>
            </w:pPr>
            <w:r w:rsidRPr="00736198">
              <w:rPr>
                <w:rFonts w:ascii="Arial" w:hAnsi="Arial" w:cs="Arial"/>
                <w:color w:val="404040" w:themeColor="text1" w:themeTint="BF"/>
              </w:rPr>
              <w:t>Elderly</w:t>
            </w:r>
          </w:p>
        </w:tc>
        <w:tc>
          <w:tcPr>
            <w:tcW w:w="8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rPr>
                <w:rFonts w:ascii="Arial" w:hAnsi="Arial" w:cs="Arial"/>
                <w:color w:val="404040" w:themeColor="text1" w:themeTint="BF"/>
              </w:rPr>
            </w:pPr>
            <w:r w:rsidRPr="00736198">
              <w:rPr>
                <w:rFonts w:ascii="Arial" w:hAnsi="Arial" w:cs="Arial"/>
              </w:rPr>
              <w:t>Ziel der Studie ist, für ältere Patienten mit Ihrer Erkrankung, die nicht für eine volle Dosis der Standardtherapie geeignet sind, eine noch bessere Therapieoption zu finden, die den Tumor verkleinert oder stabilisiert und dennoch so verträglich ist, dass Ihre Lebensqualität möglichst erhalten bleibt.</w:t>
            </w:r>
          </w:p>
        </w:tc>
        <w:tc>
          <w:tcPr>
            <w:tcW w:w="30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pStyle w:val="Listenabsatz"/>
              <w:numPr>
                <w:ilvl w:val="0"/>
                <w:numId w:val="7"/>
              </w:numPr>
              <w:rPr>
                <w:rFonts w:ascii="Arial" w:hAnsi="Arial" w:cs="Arial"/>
                <w:color w:val="404040" w:themeColor="text1" w:themeTint="BF"/>
              </w:rPr>
            </w:pPr>
            <w:r w:rsidRPr="00736198">
              <w:rPr>
                <w:rFonts w:ascii="Arial" w:hAnsi="Arial" w:cs="Arial"/>
                <w:color w:val="404040" w:themeColor="text1" w:themeTint="BF"/>
              </w:rPr>
              <w:t>palliativ</w:t>
            </w:r>
          </w:p>
          <w:p w:rsidR="003B315A" w:rsidRPr="00736198" w:rsidRDefault="003B315A" w:rsidP="003B315A">
            <w:pPr>
              <w:pStyle w:val="Listenabsatz"/>
              <w:numPr>
                <w:ilvl w:val="0"/>
                <w:numId w:val="7"/>
              </w:numPr>
              <w:rPr>
                <w:rFonts w:ascii="Arial" w:hAnsi="Arial" w:cs="Arial"/>
                <w:color w:val="404040" w:themeColor="text1" w:themeTint="BF"/>
              </w:rPr>
            </w:pPr>
            <w:r w:rsidRPr="00736198">
              <w:rPr>
                <w:rFonts w:ascii="Arial" w:hAnsi="Arial" w:cs="Arial"/>
                <w:color w:val="404040" w:themeColor="text1" w:themeTint="BF"/>
              </w:rPr>
              <w:t>Alter &gt;70 Jahre</w:t>
            </w:r>
          </w:p>
          <w:p w:rsidR="003B315A" w:rsidRPr="00736198" w:rsidRDefault="003B315A" w:rsidP="003B315A">
            <w:pPr>
              <w:pStyle w:val="Listenabsatz"/>
              <w:ind w:left="360"/>
              <w:rPr>
                <w:rFonts w:ascii="Arial" w:hAnsi="Arial" w:cs="Arial"/>
                <w:color w:val="404040" w:themeColor="text1" w:themeTint="BF"/>
              </w:rPr>
            </w:pPr>
          </w:p>
        </w:tc>
        <w:tc>
          <w:tcPr>
            <w:tcW w:w="1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rPr>
                <w:rFonts w:ascii="Arial" w:hAnsi="Arial" w:cs="Arial"/>
              </w:rPr>
            </w:pPr>
            <w:r w:rsidRPr="00736198">
              <w:rPr>
                <w:rFonts w:ascii="Arial" w:hAnsi="Arial" w:cs="Arial"/>
                <w:color w:val="404040" w:themeColor="text1" w:themeTint="BF"/>
              </w:rPr>
              <w:t>rekrutierend</w:t>
            </w:r>
          </w:p>
        </w:tc>
      </w:tr>
      <w:tr w:rsidR="003B315A" w:rsidRPr="00736198" w:rsidTr="003B315A">
        <w:trPr>
          <w:gridAfter w:val="2"/>
          <w:wAfter w:w="59" w:type="dxa"/>
          <w:trHeight w:val="420"/>
        </w:trPr>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rPr>
                <w:rFonts w:ascii="Arial" w:hAnsi="Arial" w:cs="Arial"/>
                <w:color w:val="404040" w:themeColor="text1" w:themeTint="BF"/>
              </w:rPr>
            </w:pPr>
            <w:r w:rsidRPr="00736198">
              <w:rPr>
                <w:rFonts w:ascii="Arial" w:hAnsi="Arial" w:cs="Arial"/>
                <w:color w:val="404040" w:themeColor="text1" w:themeTint="BF"/>
              </w:rPr>
              <w:t>Parlim</w:t>
            </w:r>
          </w:p>
        </w:tc>
        <w:tc>
          <w:tcPr>
            <w:tcW w:w="8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pStyle w:val="Default"/>
              <w:rPr>
                <w:rFonts w:ascii="Arial" w:hAnsi="Arial" w:cs="Arial"/>
                <w:sz w:val="22"/>
                <w:szCs w:val="22"/>
              </w:rPr>
            </w:pPr>
            <w:r w:rsidRPr="00736198">
              <w:rPr>
                <w:rFonts w:ascii="Arial" w:hAnsi="Arial" w:cs="Arial"/>
                <w:bCs/>
                <w:sz w:val="22"/>
                <w:szCs w:val="22"/>
              </w:rPr>
              <w:t xml:space="preserve">Die vorliegende Studie untersucht, ob bei Patienten mit dem Arzneimittel Panitumumab, wenn es in Kombination mit dem FOLFOX-Schema angewendet wird, die Wirksamkeit der Behandlung verbessert werden kann. </w:t>
            </w:r>
            <w:r w:rsidRPr="00736198">
              <w:rPr>
                <w:rFonts w:ascii="Arial" w:hAnsi="Arial" w:cs="Arial"/>
                <w:sz w:val="22"/>
                <w:szCs w:val="22"/>
              </w:rPr>
              <w:t xml:space="preserve">Hierzu wird ein Teil (2/3) der Patienten mit </w:t>
            </w:r>
            <w:r w:rsidRPr="00736198">
              <w:rPr>
                <w:rFonts w:ascii="Arial" w:hAnsi="Arial" w:cs="Arial"/>
                <w:bCs/>
                <w:sz w:val="22"/>
                <w:szCs w:val="22"/>
              </w:rPr>
              <w:t xml:space="preserve">Panitumumab + FOLFOX </w:t>
            </w:r>
            <w:r w:rsidRPr="00736198">
              <w:rPr>
                <w:rFonts w:ascii="Arial" w:hAnsi="Arial" w:cs="Arial"/>
                <w:sz w:val="22"/>
                <w:szCs w:val="22"/>
              </w:rPr>
              <w:t xml:space="preserve">behandelt und ein anderer Teil der Patienten (1/3) </w:t>
            </w:r>
            <w:r w:rsidRPr="00736198">
              <w:rPr>
                <w:rFonts w:ascii="Arial" w:hAnsi="Arial" w:cs="Arial"/>
                <w:bCs/>
                <w:sz w:val="22"/>
                <w:szCs w:val="22"/>
              </w:rPr>
              <w:t>nur mit FOLFOX</w:t>
            </w:r>
            <w:r w:rsidRPr="00736198">
              <w:rPr>
                <w:rFonts w:ascii="Arial" w:hAnsi="Arial" w:cs="Arial"/>
                <w:sz w:val="22"/>
                <w:szCs w:val="22"/>
              </w:rPr>
              <w:t xml:space="preserve">. </w:t>
            </w:r>
          </w:p>
        </w:tc>
        <w:tc>
          <w:tcPr>
            <w:tcW w:w="30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pStyle w:val="Listenabsatz"/>
              <w:numPr>
                <w:ilvl w:val="0"/>
                <w:numId w:val="8"/>
              </w:numPr>
              <w:rPr>
                <w:rFonts w:ascii="Arial" w:hAnsi="Arial" w:cs="Arial"/>
                <w:color w:val="404040" w:themeColor="text1" w:themeTint="BF"/>
              </w:rPr>
            </w:pPr>
            <w:r w:rsidRPr="00736198">
              <w:rPr>
                <w:rFonts w:ascii="Arial" w:hAnsi="Arial" w:cs="Arial"/>
                <w:color w:val="404040" w:themeColor="text1" w:themeTint="BF"/>
              </w:rPr>
              <w:t>palliativ</w:t>
            </w:r>
          </w:p>
          <w:p w:rsidR="003B315A" w:rsidRPr="00736198" w:rsidRDefault="003B315A" w:rsidP="003B315A">
            <w:pPr>
              <w:pStyle w:val="Listenabsatz"/>
              <w:numPr>
                <w:ilvl w:val="0"/>
                <w:numId w:val="8"/>
              </w:numPr>
              <w:rPr>
                <w:rFonts w:ascii="Arial" w:hAnsi="Arial" w:cs="Arial"/>
                <w:color w:val="404040" w:themeColor="text1" w:themeTint="BF"/>
              </w:rPr>
            </w:pPr>
            <w:r w:rsidRPr="00736198">
              <w:rPr>
                <w:rFonts w:ascii="Arial" w:hAnsi="Arial" w:cs="Arial"/>
                <w:color w:val="404040" w:themeColor="text1" w:themeTint="BF"/>
              </w:rPr>
              <w:t>RAS Wildtyp</w:t>
            </w:r>
          </w:p>
          <w:p w:rsidR="003B315A" w:rsidRPr="00736198" w:rsidRDefault="003B315A" w:rsidP="003B315A">
            <w:pPr>
              <w:pStyle w:val="Listenabsatz"/>
              <w:numPr>
                <w:ilvl w:val="0"/>
                <w:numId w:val="8"/>
              </w:numPr>
              <w:rPr>
                <w:rFonts w:ascii="Arial" w:hAnsi="Arial" w:cs="Arial"/>
                <w:color w:val="404040" w:themeColor="text1" w:themeTint="BF"/>
              </w:rPr>
            </w:pPr>
            <w:r w:rsidRPr="00736198">
              <w:rPr>
                <w:rFonts w:ascii="Arial" w:hAnsi="Arial" w:cs="Arial"/>
                <w:color w:val="404040" w:themeColor="text1" w:themeTint="BF"/>
              </w:rPr>
              <w:t>Resektion der Lebermetastasen</w:t>
            </w:r>
          </w:p>
        </w:tc>
        <w:tc>
          <w:tcPr>
            <w:tcW w:w="1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rPr>
                <w:rFonts w:ascii="Arial" w:hAnsi="Arial" w:cs="Arial"/>
              </w:rPr>
            </w:pPr>
            <w:r w:rsidRPr="00736198">
              <w:rPr>
                <w:rFonts w:ascii="Arial" w:hAnsi="Arial" w:cs="Arial"/>
                <w:color w:val="404040" w:themeColor="text1" w:themeTint="BF"/>
              </w:rPr>
              <w:t>rekrutierend</w:t>
            </w:r>
          </w:p>
        </w:tc>
      </w:tr>
      <w:tr w:rsidR="003B315A" w:rsidRPr="00736198" w:rsidTr="009B0EBE">
        <w:trPr>
          <w:trHeight w:val="420"/>
        </w:trPr>
        <w:tc>
          <w:tcPr>
            <w:tcW w:w="1481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8DADC"/>
          </w:tcPr>
          <w:p w:rsidR="003B315A" w:rsidRPr="00736198" w:rsidRDefault="003B315A" w:rsidP="003B315A">
            <w:pPr>
              <w:rPr>
                <w:rFonts w:ascii="Arial" w:hAnsi="Arial" w:cs="Arial"/>
                <w:color w:val="404040" w:themeColor="text1" w:themeTint="BF"/>
              </w:rPr>
            </w:pPr>
            <w:r w:rsidRPr="00736198">
              <w:rPr>
                <w:rFonts w:ascii="Arial" w:hAnsi="Arial" w:cs="Arial"/>
                <w:color w:val="404040" w:themeColor="text1" w:themeTint="BF"/>
              </w:rPr>
              <w:t>Ösophaguskrebszentrum</w:t>
            </w:r>
          </w:p>
        </w:tc>
      </w:tr>
      <w:tr w:rsidR="003B315A" w:rsidRPr="00736198" w:rsidTr="003B315A">
        <w:trPr>
          <w:gridAfter w:val="2"/>
          <w:wAfter w:w="59" w:type="dxa"/>
          <w:trHeight w:val="420"/>
        </w:trPr>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rPr>
                <w:rFonts w:ascii="Arial" w:hAnsi="Arial" w:cs="Arial"/>
                <w:color w:val="404040" w:themeColor="text1" w:themeTint="BF"/>
              </w:rPr>
            </w:pPr>
            <w:r w:rsidRPr="00736198">
              <w:rPr>
                <w:rFonts w:ascii="Arial" w:hAnsi="Arial" w:cs="Arial"/>
                <w:color w:val="404040" w:themeColor="text1" w:themeTint="BF"/>
              </w:rPr>
              <w:t xml:space="preserve">Momentan </w:t>
            </w:r>
          </w:p>
          <w:p w:rsidR="003B315A" w:rsidRPr="00736198" w:rsidRDefault="003B315A" w:rsidP="003B315A">
            <w:pPr>
              <w:rPr>
                <w:rFonts w:ascii="Arial" w:hAnsi="Arial" w:cs="Arial"/>
                <w:color w:val="404040" w:themeColor="text1" w:themeTint="BF"/>
              </w:rPr>
            </w:pPr>
            <w:r w:rsidRPr="00736198">
              <w:rPr>
                <w:rFonts w:ascii="Arial" w:hAnsi="Arial" w:cs="Arial"/>
                <w:color w:val="404040" w:themeColor="text1" w:themeTint="BF"/>
              </w:rPr>
              <w:t>keine Studie</w:t>
            </w:r>
          </w:p>
        </w:tc>
        <w:tc>
          <w:tcPr>
            <w:tcW w:w="8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rPr>
                <w:rFonts w:ascii="Arial" w:hAnsi="Arial" w:cs="Arial"/>
                <w:color w:val="404040" w:themeColor="text1" w:themeTint="BF"/>
              </w:rPr>
            </w:pPr>
          </w:p>
        </w:tc>
        <w:tc>
          <w:tcPr>
            <w:tcW w:w="30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rPr>
                <w:rFonts w:ascii="Arial" w:hAnsi="Arial" w:cs="Arial"/>
                <w:color w:val="404040" w:themeColor="text1" w:themeTint="BF"/>
              </w:rPr>
            </w:pPr>
          </w:p>
        </w:tc>
        <w:tc>
          <w:tcPr>
            <w:tcW w:w="1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rPr>
                <w:rFonts w:ascii="Arial" w:hAnsi="Arial" w:cs="Arial"/>
                <w:color w:val="404040" w:themeColor="text1" w:themeTint="BF"/>
              </w:rPr>
            </w:pPr>
          </w:p>
        </w:tc>
      </w:tr>
      <w:tr w:rsidR="003B315A" w:rsidRPr="00736198" w:rsidTr="009B0EBE">
        <w:trPr>
          <w:trHeight w:val="420"/>
        </w:trPr>
        <w:tc>
          <w:tcPr>
            <w:tcW w:w="1481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8DADC"/>
          </w:tcPr>
          <w:p w:rsidR="003B315A" w:rsidRPr="00736198" w:rsidRDefault="003B315A" w:rsidP="003B315A">
            <w:pPr>
              <w:rPr>
                <w:rFonts w:ascii="Arial" w:hAnsi="Arial" w:cs="Arial"/>
                <w:color w:val="404040" w:themeColor="text1" w:themeTint="BF"/>
              </w:rPr>
            </w:pPr>
            <w:r w:rsidRPr="00736198">
              <w:rPr>
                <w:rFonts w:ascii="Arial" w:hAnsi="Arial" w:cs="Arial"/>
                <w:color w:val="404040" w:themeColor="text1" w:themeTint="BF"/>
              </w:rPr>
              <w:t>Magenkrebszentrum</w:t>
            </w:r>
          </w:p>
        </w:tc>
      </w:tr>
      <w:tr w:rsidR="003B315A" w:rsidRPr="00736198" w:rsidTr="003B315A">
        <w:trPr>
          <w:gridAfter w:val="2"/>
          <w:wAfter w:w="59" w:type="dxa"/>
          <w:trHeight w:val="420"/>
        </w:trPr>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rPr>
                <w:rFonts w:ascii="Arial" w:hAnsi="Arial" w:cs="Arial"/>
                <w:color w:val="404040" w:themeColor="text1" w:themeTint="BF"/>
              </w:rPr>
            </w:pPr>
            <w:r w:rsidRPr="00736198">
              <w:rPr>
                <w:rFonts w:ascii="Arial" w:hAnsi="Arial" w:cs="Arial"/>
                <w:color w:val="404040" w:themeColor="text1" w:themeTint="BF"/>
              </w:rPr>
              <w:t>Flot 5</w:t>
            </w:r>
          </w:p>
        </w:tc>
        <w:tc>
          <w:tcPr>
            <w:tcW w:w="8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rPr>
                <w:rFonts w:ascii="Arial" w:hAnsi="Arial" w:cs="Arial"/>
              </w:rPr>
            </w:pPr>
            <w:r w:rsidRPr="00736198">
              <w:rPr>
                <w:rFonts w:ascii="Arial" w:hAnsi="Arial" w:cs="Arial"/>
              </w:rPr>
              <w:t>In dieser Studie soll untersucht werden, ob durch die Kombination der FLOT Chemotherapie mit einer Operation zur möglichst weitgehenden Entfernung des Tumor- und Tumor-Metastasen-Gewebes die Behandlungsergebnisse weiter verbessert werden können. Zusammenfassend soll in dieser Studie geprüft werden, ob FLOT in Verbindung mit einer Operation wirksamer ist, als die Therapie mit FLOT alleine.</w:t>
            </w:r>
          </w:p>
          <w:p w:rsidR="003B315A" w:rsidRPr="00736198" w:rsidRDefault="003B315A" w:rsidP="003B315A">
            <w:pPr>
              <w:rPr>
                <w:rFonts w:ascii="Arial" w:hAnsi="Arial" w:cs="Arial"/>
                <w:color w:val="404040" w:themeColor="text1" w:themeTint="BF"/>
              </w:rPr>
            </w:pPr>
          </w:p>
        </w:tc>
        <w:tc>
          <w:tcPr>
            <w:tcW w:w="30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pStyle w:val="Listenabsatz"/>
              <w:numPr>
                <w:ilvl w:val="0"/>
                <w:numId w:val="9"/>
              </w:numPr>
              <w:rPr>
                <w:rFonts w:ascii="Arial" w:hAnsi="Arial" w:cs="Arial"/>
                <w:color w:val="404040" w:themeColor="text1" w:themeTint="BF"/>
              </w:rPr>
            </w:pPr>
            <w:r w:rsidRPr="00736198">
              <w:rPr>
                <w:rFonts w:ascii="Arial" w:hAnsi="Arial" w:cs="Arial"/>
                <w:color w:val="404040" w:themeColor="text1" w:themeTint="BF"/>
              </w:rPr>
              <w:lastRenderedPageBreak/>
              <w:t>palliativ</w:t>
            </w:r>
          </w:p>
          <w:p w:rsidR="003B315A" w:rsidRPr="00736198" w:rsidRDefault="003B315A" w:rsidP="003B315A">
            <w:pPr>
              <w:pStyle w:val="Listenabsatz"/>
              <w:numPr>
                <w:ilvl w:val="0"/>
                <w:numId w:val="9"/>
              </w:numPr>
              <w:rPr>
                <w:rFonts w:ascii="Arial" w:hAnsi="Arial" w:cs="Arial"/>
                <w:color w:val="404040" w:themeColor="text1" w:themeTint="BF"/>
              </w:rPr>
            </w:pPr>
            <w:r w:rsidRPr="00736198">
              <w:rPr>
                <w:rFonts w:ascii="Arial" w:hAnsi="Arial" w:cs="Arial"/>
                <w:color w:val="404040" w:themeColor="text1" w:themeTint="BF"/>
              </w:rPr>
              <w:t>keine Vortherapie</w:t>
            </w:r>
          </w:p>
        </w:tc>
        <w:tc>
          <w:tcPr>
            <w:tcW w:w="1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rPr>
                <w:rFonts w:ascii="Arial" w:hAnsi="Arial" w:cs="Arial"/>
              </w:rPr>
            </w:pPr>
            <w:r w:rsidRPr="00736198">
              <w:rPr>
                <w:rFonts w:ascii="Arial" w:hAnsi="Arial" w:cs="Arial"/>
                <w:color w:val="404040" w:themeColor="text1" w:themeTint="BF"/>
              </w:rPr>
              <w:t>rekrutierend</w:t>
            </w:r>
          </w:p>
        </w:tc>
      </w:tr>
      <w:tr w:rsidR="003B315A" w:rsidRPr="00736198" w:rsidTr="009B0EBE">
        <w:trPr>
          <w:trHeight w:val="420"/>
        </w:trPr>
        <w:tc>
          <w:tcPr>
            <w:tcW w:w="1481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3B315A" w:rsidRPr="00736198" w:rsidRDefault="003B315A" w:rsidP="003B315A">
            <w:pPr>
              <w:rPr>
                <w:rFonts w:ascii="Arial" w:hAnsi="Arial" w:cs="Arial"/>
                <w:color w:val="404040" w:themeColor="text1" w:themeTint="BF"/>
              </w:rPr>
            </w:pPr>
            <w:r w:rsidRPr="00736198">
              <w:rPr>
                <w:rFonts w:ascii="Arial" w:hAnsi="Arial" w:cs="Arial"/>
                <w:color w:val="404040" w:themeColor="text1" w:themeTint="BF"/>
              </w:rPr>
              <w:t>Pankreaskrebszentrum</w:t>
            </w:r>
          </w:p>
        </w:tc>
      </w:tr>
      <w:tr w:rsidR="003B315A" w:rsidRPr="00736198" w:rsidTr="003B315A">
        <w:trPr>
          <w:gridAfter w:val="2"/>
          <w:wAfter w:w="59" w:type="dxa"/>
          <w:trHeight w:val="420"/>
        </w:trPr>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rPr>
                <w:rFonts w:ascii="Arial" w:hAnsi="Arial" w:cs="Arial"/>
                <w:color w:val="404040" w:themeColor="text1" w:themeTint="BF"/>
              </w:rPr>
            </w:pPr>
            <w:r w:rsidRPr="00736198">
              <w:rPr>
                <w:rFonts w:ascii="Arial" w:hAnsi="Arial" w:cs="Arial"/>
                <w:color w:val="404040" w:themeColor="text1" w:themeTint="BF"/>
              </w:rPr>
              <w:t>Footpath</w:t>
            </w:r>
          </w:p>
        </w:tc>
        <w:tc>
          <w:tcPr>
            <w:tcW w:w="8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autoSpaceDE w:val="0"/>
              <w:autoSpaceDN w:val="0"/>
              <w:adjustRightInd w:val="0"/>
              <w:rPr>
                <w:rFonts w:ascii="Arial" w:hAnsi="Arial" w:cs="Arial"/>
                <w:color w:val="404040" w:themeColor="text1" w:themeTint="BF"/>
              </w:rPr>
            </w:pPr>
            <w:r w:rsidRPr="00736198">
              <w:rPr>
                <w:rFonts w:ascii="Arial" w:hAnsi="Arial" w:cs="Arial"/>
              </w:rPr>
              <w:t>Im Rahmen dieser Studie wird die Frage untersucht, welche Kombination von chemotherapeutischen Substanzen (Chemotherapie-Regime) die besten Behandlungsergebnisse bei der erstmaligen Behandlung eines metastasierten Pankreaskarzinoms hat, dabei werden drei verschiedene Chemotherapie-Kombinationen untersucht.</w:t>
            </w:r>
          </w:p>
        </w:tc>
        <w:tc>
          <w:tcPr>
            <w:tcW w:w="30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pStyle w:val="Listenabsatz"/>
              <w:numPr>
                <w:ilvl w:val="0"/>
                <w:numId w:val="9"/>
              </w:numPr>
              <w:rPr>
                <w:rFonts w:ascii="Arial" w:hAnsi="Arial" w:cs="Arial"/>
                <w:color w:val="404040" w:themeColor="text1" w:themeTint="BF"/>
              </w:rPr>
            </w:pPr>
            <w:r w:rsidRPr="00736198">
              <w:rPr>
                <w:rFonts w:ascii="Arial" w:hAnsi="Arial" w:cs="Arial"/>
                <w:color w:val="404040" w:themeColor="text1" w:themeTint="BF"/>
              </w:rPr>
              <w:t>palliativ</w:t>
            </w:r>
          </w:p>
          <w:p w:rsidR="003B315A" w:rsidRPr="00736198" w:rsidRDefault="003B315A" w:rsidP="003B315A">
            <w:pPr>
              <w:pStyle w:val="Listenabsatz"/>
              <w:numPr>
                <w:ilvl w:val="0"/>
                <w:numId w:val="9"/>
              </w:numPr>
              <w:rPr>
                <w:rFonts w:ascii="Arial" w:hAnsi="Arial" w:cs="Arial"/>
                <w:color w:val="404040" w:themeColor="text1" w:themeTint="BF"/>
              </w:rPr>
            </w:pPr>
            <w:r w:rsidRPr="00736198">
              <w:rPr>
                <w:rFonts w:ascii="Arial" w:hAnsi="Arial" w:cs="Arial"/>
                <w:color w:val="404040" w:themeColor="text1" w:themeTint="BF"/>
              </w:rPr>
              <w:t>keine Vortherapie</w:t>
            </w:r>
          </w:p>
        </w:tc>
        <w:tc>
          <w:tcPr>
            <w:tcW w:w="1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rPr>
                <w:rFonts w:ascii="Arial" w:hAnsi="Arial" w:cs="Arial"/>
              </w:rPr>
            </w:pPr>
            <w:r w:rsidRPr="00736198">
              <w:rPr>
                <w:rFonts w:ascii="Arial" w:hAnsi="Arial" w:cs="Arial"/>
                <w:color w:val="404040" w:themeColor="text1" w:themeTint="BF"/>
              </w:rPr>
              <w:t>rekrutierend</w:t>
            </w:r>
          </w:p>
        </w:tc>
      </w:tr>
      <w:tr w:rsidR="003B315A" w:rsidRPr="00736198" w:rsidTr="003B315A">
        <w:trPr>
          <w:gridAfter w:val="2"/>
          <w:wAfter w:w="59" w:type="dxa"/>
          <w:trHeight w:val="420"/>
        </w:trPr>
        <w:tc>
          <w:tcPr>
            <w:tcW w:w="1475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3B315A" w:rsidRPr="00736198" w:rsidRDefault="003B315A" w:rsidP="003B315A">
            <w:pPr>
              <w:rPr>
                <w:rFonts w:ascii="Arial" w:hAnsi="Arial" w:cs="Arial"/>
                <w:color w:val="404040" w:themeColor="text1" w:themeTint="BF"/>
              </w:rPr>
            </w:pPr>
            <w:r w:rsidRPr="00736198">
              <w:rPr>
                <w:rFonts w:ascii="Arial" w:hAnsi="Arial" w:cs="Arial"/>
                <w:color w:val="404040" w:themeColor="text1" w:themeTint="BF"/>
              </w:rPr>
              <w:t>Zentrumsübergreifend</w:t>
            </w:r>
          </w:p>
        </w:tc>
      </w:tr>
      <w:tr w:rsidR="003B315A" w:rsidRPr="00736198" w:rsidTr="003B315A">
        <w:trPr>
          <w:gridAfter w:val="2"/>
          <w:wAfter w:w="59" w:type="dxa"/>
          <w:trHeight w:val="420"/>
        </w:trPr>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rPr>
                <w:rFonts w:ascii="Arial" w:hAnsi="Arial" w:cs="Arial"/>
                <w:color w:val="404040" w:themeColor="text1" w:themeTint="BF"/>
              </w:rPr>
            </w:pPr>
            <w:r w:rsidRPr="00736198">
              <w:rPr>
                <w:rFonts w:ascii="Arial" w:hAnsi="Arial" w:cs="Arial"/>
                <w:color w:val="404040" w:themeColor="text1" w:themeTint="BF"/>
              </w:rPr>
              <w:t>OnkoPat-LQ</w:t>
            </w:r>
          </w:p>
        </w:tc>
        <w:tc>
          <w:tcPr>
            <w:tcW w:w="8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autoSpaceDE w:val="0"/>
              <w:autoSpaceDN w:val="0"/>
              <w:adjustRightInd w:val="0"/>
              <w:rPr>
                <w:rFonts w:ascii="Arial" w:hAnsi="Arial" w:cs="Arial"/>
              </w:rPr>
            </w:pPr>
            <w:r w:rsidRPr="00736198">
              <w:rPr>
                <w:rFonts w:ascii="Arial" w:hAnsi="Arial" w:cs="Arial"/>
              </w:rPr>
              <w:t>Durch diese Studie möchten wir feststellen, inwieweit der organisatorische Ablauf der Diagnostik, die Besprechung der Befunde, die Aufklärung über Ihrer Diagnose und die Zeitspanne bis zum Therapiestart einen Einfluss auf Ihre Lebensqualität hat.</w:t>
            </w:r>
          </w:p>
        </w:tc>
        <w:tc>
          <w:tcPr>
            <w:tcW w:w="30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pStyle w:val="Listenabsatz"/>
              <w:numPr>
                <w:ilvl w:val="0"/>
                <w:numId w:val="9"/>
              </w:numPr>
              <w:rPr>
                <w:rFonts w:ascii="Arial" w:hAnsi="Arial" w:cs="Arial"/>
                <w:color w:val="404040" w:themeColor="text1" w:themeTint="BF"/>
              </w:rPr>
            </w:pPr>
            <w:r w:rsidRPr="00736198">
              <w:rPr>
                <w:rFonts w:ascii="Arial" w:hAnsi="Arial" w:cs="Arial"/>
                <w:color w:val="404040" w:themeColor="text1" w:themeTint="BF"/>
              </w:rPr>
              <w:t>neu diagnostizierte onkologische Erkrankung</w:t>
            </w:r>
          </w:p>
          <w:p w:rsidR="003B315A" w:rsidRPr="00736198" w:rsidRDefault="003B315A" w:rsidP="003B315A">
            <w:pPr>
              <w:pStyle w:val="Listenabsatz"/>
              <w:numPr>
                <w:ilvl w:val="0"/>
                <w:numId w:val="9"/>
              </w:numPr>
              <w:rPr>
                <w:rFonts w:ascii="Arial" w:hAnsi="Arial" w:cs="Arial"/>
                <w:color w:val="404040" w:themeColor="text1" w:themeTint="BF"/>
              </w:rPr>
            </w:pPr>
            <w:r w:rsidRPr="00736198">
              <w:rPr>
                <w:rFonts w:ascii="Arial" w:hAnsi="Arial" w:cs="Arial"/>
                <w:color w:val="404040" w:themeColor="text1" w:themeTint="BF"/>
              </w:rPr>
              <w:t>Zentrumspatient</w:t>
            </w:r>
          </w:p>
          <w:p w:rsidR="003B315A" w:rsidRPr="00736198" w:rsidRDefault="003B315A" w:rsidP="003B315A">
            <w:pPr>
              <w:pStyle w:val="Listenabsatz"/>
              <w:numPr>
                <w:ilvl w:val="0"/>
                <w:numId w:val="9"/>
              </w:numPr>
              <w:rPr>
                <w:rFonts w:ascii="Arial" w:hAnsi="Arial" w:cs="Arial"/>
                <w:color w:val="404040" w:themeColor="text1" w:themeTint="BF"/>
              </w:rPr>
            </w:pPr>
            <w:r w:rsidRPr="00736198">
              <w:rPr>
                <w:rFonts w:ascii="Arial" w:hAnsi="Arial" w:cs="Arial"/>
                <w:color w:val="404040" w:themeColor="text1" w:themeTint="BF"/>
              </w:rPr>
              <w:t>Keine Vorbehandlung</w:t>
            </w:r>
          </w:p>
        </w:tc>
        <w:tc>
          <w:tcPr>
            <w:tcW w:w="1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3B315A" w:rsidRPr="00736198" w:rsidRDefault="003B315A" w:rsidP="003B315A">
            <w:pPr>
              <w:rPr>
                <w:rFonts w:ascii="Arial" w:hAnsi="Arial" w:cs="Arial"/>
              </w:rPr>
            </w:pPr>
            <w:r w:rsidRPr="00736198">
              <w:rPr>
                <w:rFonts w:ascii="Arial" w:hAnsi="Arial" w:cs="Arial"/>
                <w:color w:val="404040" w:themeColor="text1" w:themeTint="BF"/>
              </w:rPr>
              <w:t>rekrutierend</w:t>
            </w:r>
          </w:p>
        </w:tc>
      </w:tr>
    </w:tbl>
    <w:p w:rsidR="002D53EB" w:rsidRDefault="00D7267D">
      <w:pPr>
        <w:rPr>
          <w:rFonts w:ascii="Arial" w:hAnsi="Arial" w:cs="Arial"/>
          <w:color w:val="404040" w:themeColor="text1" w:themeTint="BF"/>
        </w:rPr>
      </w:pPr>
    </w:p>
    <w:p w:rsidR="00736198" w:rsidRPr="00736198" w:rsidRDefault="00736198">
      <w:pPr>
        <w:rPr>
          <w:rFonts w:ascii="Arial" w:hAnsi="Arial" w:cs="Arial"/>
          <w:color w:val="404040" w:themeColor="text1" w:themeTint="BF"/>
        </w:rPr>
      </w:pPr>
    </w:p>
    <w:sectPr w:rsidR="00736198" w:rsidRPr="00736198" w:rsidSect="00D46E8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5D2" w:rsidRDefault="004515D2" w:rsidP="004515D2">
      <w:pPr>
        <w:spacing w:after="0" w:line="240" w:lineRule="auto"/>
      </w:pPr>
      <w:r>
        <w:separator/>
      </w:r>
    </w:p>
  </w:endnote>
  <w:endnote w:type="continuationSeparator" w:id="0">
    <w:p w:rsidR="004515D2" w:rsidRDefault="004515D2" w:rsidP="0045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5D2" w:rsidRDefault="004515D2" w:rsidP="004515D2">
      <w:pPr>
        <w:spacing w:after="0" w:line="240" w:lineRule="auto"/>
      </w:pPr>
      <w:r>
        <w:separator/>
      </w:r>
    </w:p>
  </w:footnote>
  <w:footnote w:type="continuationSeparator" w:id="0">
    <w:p w:rsidR="004515D2" w:rsidRDefault="004515D2" w:rsidP="00451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6A74"/>
    <w:multiLevelType w:val="hybridMultilevel"/>
    <w:tmpl w:val="3E6E7E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EF86D45"/>
    <w:multiLevelType w:val="hybridMultilevel"/>
    <w:tmpl w:val="931C2A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ADF1C85"/>
    <w:multiLevelType w:val="hybridMultilevel"/>
    <w:tmpl w:val="9D9CE524"/>
    <w:lvl w:ilvl="0" w:tplc="9BF0D4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8A3415"/>
    <w:multiLevelType w:val="hybridMultilevel"/>
    <w:tmpl w:val="0DD4D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2BB7B84"/>
    <w:multiLevelType w:val="hybridMultilevel"/>
    <w:tmpl w:val="7E8658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37842D4"/>
    <w:multiLevelType w:val="hybridMultilevel"/>
    <w:tmpl w:val="E974C6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4C65C1D"/>
    <w:multiLevelType w:val="hybridMultilevel"/>
    <w:tmpl w:val="12C435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94F1E13"/>
    <w:multiLevelType w:val="hybridMultilevel"/>
    <w:tmpl w:val="637609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5A85432"/>
    <w:multiLevelType w:val="hybridMultilevel"/>
    <w:tmpl w:val="707821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5763318"/>
    <w:multiLevelType w:val="hybridMultilevel"/>
    <w:tmpl w:val="D87477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25E42AD"/>
    <w:multiLevelType w:val="hybridMultilevel"/>
    <w:tmpl w:val="73DC59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2754F51"/>
    <w:multiLevelType w:val="hybridMultilevel"/>
    <w:tmpl w:val="A64E8A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A1E32B6"/>
    <w:multiLevelType w:val="hybridMultilevel"/>
    <w:tmpl w:val="3D5EBE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0"/>
  </w:num>
  <w:num w:numId="4">
    <w:abstractNumId w:val="11"/>
  </w:num>
  <w:num w:numId="5">
    <w:abstractNumId w:val="9"/>
  </w:num>
  <w:num w:numId="6">
    <w:abstractNumId w:val="6"/>
  </w:num>
  <w:num w:numId="7">
    <w:abstractNumId w:val="5"/>
  </w:num>
  <w:num w:numId="8">
    <w:abstractNumId w:val="8"/>
  </w:num>
  <w:num w:numId="9">
    <w:abstractNumId w:val="4"/>
  </w:num>
  <w:num w:numId="10">
    <w:abstractNumId w:val="0"/>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89"/>
    <w:rsid w:val="000E07BB"/>
    <w:rsid w:val="00136C37"/>
    <w:rsid w:val="00147974"/>
    <w:rsid w:val="001603E7"/>
    <w:rsid w:val="0025792A"/>
    <w:rsid w:val="002A5AA6"/>
    <w:rsid w:val="003B315A"/>
    <w:rsid w:val="003F1CFD"/>
    <w:rsid w:val="00400B81"/>
    <w:rsid w:val="00437841"/>
    <w:rsid w:val="004515D2"/>
    <w:rsid w:val="004565D8"/>
    <w:rsid w:val="004D1B61"/>
    <w:rsid w:val="00584B7E"/>
    <w:rsid w:val="0059776D"/>
    <w:rsid w:val="006128F7"/>
    <w:rsid w:val="00616D3D"/>
    <w:rsid w:val="0072715D"/>
    <w:rsid w:val="00736198"/>
    <w:rsid w:val="00890076"/>
    <w:rsid w:val="00975ADE"/>
    <w:rsid w:val="009B0EBE"/>
    <w:rsid w:val="009C574B"/>
    <w:rsid w:val="009F32FA"/>
    <w:rsid w:val="00A06A22"/>
    <w:rsid w:val="00C15317"/>
    <w:rsid w:val="00C9356A"/>
    <w:rsid w:val="00CC5C91"/>
    <w:rsid w:val="00D46E89"/>
    <w:rsid w:val="00D7267D"/>
    <w:rsid w:val="00DA5B78"/>
    <w:rsid w:val="00E0569A"/>
    <w:rsid w:val="00EE07BC"/>
    <w:rsid w:val="00F33A1A"/>
    <w:rsid w:val="00F42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65DA"/>
  <w15:chartTrackingRefBased/>
  <w15:docId w15:val="{82BF5657-7C99-4FA5-BAC8-7A05931C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46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515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15D2"/>
  </w:style>
  <w:style w:type="paragraph" w:styleId="Fuzeile">
    <w:name w:val="footer"/>
    <w:basedOn w:val="Standard"/>
    <w:link w:val="FuzeileZchn"/>
    <w:uiPriority w:val="99"/>
    <w:unhideWhenUsed/>
    <w:rsid w:val="004515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15D2"/>
  </w:style>
  <w:style w:type="paragraph" w:styleId="Listenabsatz">
    <w:name w:val="List Paragraph"/>
    <w:basedOn w:val="Standard"/>
    <w:uiPriority w:val="34"/>
    <w:qFormat/>
    <w:rsid w:val="00F420CD"/>
    <w:pPr>
      <w:ind w:left="720"/>
      <w:contextualSpacing/>
    </w:pPr>
  </w:style>
  <w:style w:type="paragraph" w:customStyle="1" w:styleId="Default">
    <w:name w:val="Default"/>
    <w:rsid w:val="002A5AA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12A04-9202-442D-90AA-CBE165C3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1364</Words>
  <Characters>8595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Klinikum Mutterhaus</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QM</dc:creator>
  <cp:keywords/>
  <dc:description/>
  <cp:lastModifiedBy>Junk, Eva, Studiensekretariat</cp:lastModifiedBy>
  <cp:revision>2</cp:revision>
  <dcterms:created xsi:type="dcterms:W3CDTF">2022-09-14T08:56:00Z</dcterms:created>
  <dcterms:modified xsi:type="dcterms:W3CDTF">2022-09-14T08:56:00Z</dcterms:modified>
</cp:coreProperties>
</file>